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drawings/drawing1.xml" ContentType="application/vnd.openxmlformats-officedocument.drawingml.chartshapes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18" w:rsidRPr="00C74907" w:rsidRDefault="00C058B0">
      <w:pPr>
        <w:rPr>
          <w:rFonts w:asciiTheme="majorHAnsi" w:hAnsiTheme="majorHAnsi" w:cs="Calibri"/>
        </w:rPr>
      </w:pPr>
      <w:r w:rsidRPr="00C058B0">
        <w:rPr>
          <w:rFonts w:asciiTheme="majorHAnsi" w:eastAsia="Times New Roman" w:hAnsiTheme="majorHAnsi" w:cs="Calibri"/>
          <w:noProof/>
          <w:sz w:val="24"/>
          <w:szCs w:val="24"/>
          <w:lang w:val="en-GB" w:eastAsia="en-GB"/>
        </w:rPr>
        <w:pict>
          <v:rect id="Rectangle 30" o:spid="_x0000_s1026" style="position:absolute;margin-left:-13.75pt;margin-top:27.05pt;width:430.85pt;height:60.1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" filled="f" stroked="f">
            <v:path arrowok="t"/>
            <v:textbox style="mso-fit-shape-to-text:t">
              <w:txbxContent>
                <w:p w:rsidR="00AA0D5A" w:rsidRPr="00242D85" w:rsidRDefault="00AA0D5A" w:rsidP="00242D85">
                  <w:pPr>
                    <w:spacing w:after="60" w:line="240" w:lineRule="auto"/>
                    <w:jc w:val="right"/>
                    <w:rPr>
                      <w:rFonts w:asciiTheme="majorHAnsi" w:hAnsiTheme="majorHAnsi" w:cstheme="majorHAnsi"/>
                      <w:b/>
                      <w:color w:val="808080" w:themeColor="background1" w:themeShade="80"/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</w:p>
    <w:p w:rsidR="00003855" w:rsidRPr="00E3720D" w:rsidRDefault="00242D85" w:rsidP="00003855">
      <w:pPr>
        <w:pStyle w:val="02TITLE"/>
        <w:ind w:right="113"/>
        <w:rPr>
          <w:rFonts w:cs="Calibri"/>
          <w:b w:val="0"/>
          <w:color w:val="3A73AE"/>
        </w:rPr>
      </w:pPr>
      <w:r w:rsidRPr="00C74907">
        <w:rPr>
          <w:rFonts w:cs="Calibri"/>
          <w:b w:val="0"/>
          <w:color w:val="3A73AE"/>
        </w:rPr>
        <w:t>Κύρια Σημεία Αποτελεσμάτων και Μεγεθών Ομίλου</w:t>
      </w:r>
    </w:p>
    <w:p w:rsidR="00003855" w:rsidRPr="00C74907" w:rsidRDefault="00242D85" w:rsidP="00003855">
      <w:pPr>
        <w:pStyle w:val="04SUBSUB"/>
        <w:spacing w:before="120" w:after="120" w:line="240" w:lineRule="auto"/>
        <w:ind w:left="0"/>
        <w:rPr>
          <w:rFonts w:cs="Calibri"/>
          <w:b w:val="0"/>
          <w:color w:val="auto"/>
          <w:sz w:val="24"/>
          <w:szCs w:val="24"/>
          <w:lang w:val="en-US"/>
        </w:rPr>
      </w:pPr>
      <w:proofErr w:type="spellStart"/>
      <w:r w:rsidRPr="00C74907">
        <w:rPr>
          <w:rFonts w:cs="Calibri"/>
          <w:b w:val="0"/>
          <w:color w:val="auto"/>
          <w:sz w:val="24"/>
          <w:szCs w:val="24"/>
          <w:lang w:val="en-US"/>
        </w:rPr>
        <w:t>Αποτελέσματα</w:t>
      </w:r>
      <w:proofErr w:type="spellEnd"/>
      <w:r w:rsidRPr="00C74907">
        <w:rPr>
          <w:rFonts w:cs="Calibri"/>
          <w:b w:val="0"/>
          <w:color w:val="auto"/>
          <w:sz w:val="24"/>
          <w:szCs w:val="24"/>
          <w:lang w:val="en-US"/>
        </w:rPr>
        <w:t xml:space="preserve"> 1ου 3μήνου 2016</w:t>
      </w:r>
    </w:p>
    <w:tbl>
      <w:tblPr>
        <w:tblStyle w:val="a7"/>
        <w:tblW w:w="8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8"/>
        <w:gridCol w:w="7478"/>
      </w:tblGrid>
      <w:tr w:rsidR="00653FBA" w:rsidRPr="00C74907" w:rsidTr="00FF0E5A">
        <w:trPr>
          <w:trHeight w:val="656"/>
        </w:trPr>
        <w:tc>
          <w:tcPr>
            <w:tcW w:w="678" w:type="dxa"/>
            <w:tcMar>
              <w:top w:w="227" w:type="dxa"/>
              <w:bottom w:w="227" w:type="dxa"/>
            </w:tcMar>
          </w:tcPr>
          <w:p w:rsidR="00653FBA" w:rsidRPr="00C74907" w:rsidRDefault="00C058B0" w:rsidP="00003855">
            <w:pPr>
              <w:tabs>
                <w:tab w:val="left" w:pos="8262"/>
              </w:tabs>
              <w:spacing w:after="60"/>
              <w:ind w:right="74"/>
              <w:contextualSpacing/>
              <w:jc w:val="both"/>
              <w:rPr>
                <w:rFonts w:asciiTheme="majorHAnsi" w:hAnsiTheme="majorHAnsi" w:cs="Calibri"/>
                <w:b/>
                <w:lang w:val="en-US"/>
              </w:rPr>
            </w:pPr>
            <w:r w:rsidRPr="00C058B0">
              <w:rPr>
                <w:rFonts w:asciiTheme="majorHAnsi" w:eastAsia="Times New Roman" w:hAnsiTheme="majorHAnsi" w:cs="Calibri"/>
                <w:noProof/>
                <w:sz w:val="24"/>
                <w:szCs w:val="24"/>
                <w:lang w:val="en-GB" w:eastAsia="en-GB"/>
              </w:rPr>
              <w:pict>
                <v:shape id="Freeform 4" o:spid="_x0000_s1033" style="position:absolute;left:0;text-align:left;margin-left:-178.3pt;margin-top:30.8pt;width:662.35pt;height:530.15pt;rotation:90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coordsize="7893685,677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" path="m162098,l7731587,v89524,,162098,72574,162098,162098l7893685,6771005,,6771005,,162098c,72574,72574,,162098,xe" fillcolor="#dcdcd7" stroked="f">
                  <v:fill opacity="49087f"/>
                  <v:path o:connecttype="custom" o:connectlocs="172732,0;8238798,0;8411530,161193;8411530,6733222;8411530,6733222;0,6733222;0,6733222;0,161193;172732,0" o:connectangles="0,0,0,0,0,0,0,0,0"/>
                  <w10:wrap anchorx="page" anchory="margin"/>
                </v:shape>
              </w:pict>
            </w:r>
            <w:r w:rsidR="00653FBA" w:rsidRPr="00C74907">
              <w:rPr>
                <w:rFonts w:asciiTheme="majorHAnsi" w:hAnsiTheme="majorHAnsi" w:cs="Calibri"/>
                <w:b/>
                <w:noProof/>
                <w:lang w:val="en-US" w:eastAsia="en-US"/>
              </w:rPr>
              <w:drawing>
                <wp:inline distT="0" distB="0" distL="0" distR="0">
                  <wp:extent cx="292584" cy="292584"/>
                  <wp:effectExtent l="0" t="0" r="0" b="0"/>
                  <wp:docPr id="95" name="Εικόνα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lletTick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84" cy="292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  <w:tcMar>
              <w:top w:w="227" w:type="dxa"/>
              <w:bottom w:w="227" w:type="dxa"/>
            </w:tcMar>
          </w:tcPr>
          <w:p w:rsidR="00653FBA" w:rsidRPr="00C74907" w:rsidRDefault="00242D85" w:rsidP="004F197F">
            <w:pPr>
              <w:jc w:val="both"/>
              <w:rPr>
                <w:rFonts w:asciiTheme="majorHAnsi" w:hAnsiTheme="majorHAnsi" w:cs="Calibri"/>
                <w:sz w:val="19"/>
                <w:szCs w:val="19"/>
              </w:rPr>
            </w:pPr>
            <w:r w:rsidRPr="00C74907">
              <w:rPr>
                <w:rFonts w:asciiTheme="majorHAnsi" w:hAnsiTheme="majorHAnsi" w:cs="Calibri"/>
                <w:b/>
                <w:sz w:val="19"/>
                <w:szCs w:val="19"/>
              </w:rPr>
              <w:t xml:space="preserve">Τα κέρδη προ φόρων και προβλέψεων </w:t>
            </w:r>
            <w:r w:rsidRPr="00C74907">
              <w:rPr>
                <w:rFonts w:asciiTheme="majorHAnsi" w:hAnsiTheme="majorHAnsi" w:cs="Calibri"/>
                <w:sz w:val="19"/>
                <w:szCs w:val="19"/>
              </w:rPr>
              <w:t xml:space="preserve">του Ομίλου το 1ο 3μηνο 2016 αυξήθηκαν </w:t>
            </w:r>
            <w:r w:rsidR="00561215">
              <w:rPr>
                <w:rFonts w:asciiTheme="majorHAnsi" w:hAnsiTheme="majorHAnsi" w:cs="Calibri"/>
                <w:sz w:val="19"/>
                <w:szCs w:val="19"/>
              </w:rPr>
              <w:t>ετησίως</w:t>
            </w:r>
            <w:r w:rsidRPr="00C74907">
              <w:rPr>
                <w:rFonts w:asciiTheme="majorHAnsi" w:hAnsiTheme="majorHAnsi" w:cs="Calibri"/>
                <w:sz w:val="19"/>
                <w:szCs w:val="19"/>
              </w:rPr>
              <w:t xml:space="preserve"> κατά </w:t>
            </w:r>
            <w:r w:rsidR="00FF0E5A">
              <w:rPr>
                <w:rFonts w:asciiTheme="majorHAnsi" w:hAnsiTheme="majorHAnsi" w:cs="Calibri"/>
                <w:sz w:val="19"/>
                <w:szCs w:val="19"/>
              </w:rPr>
              <w:t>9</w:t>
            </w:r>
            <w:r w:rsidRPr="00C74907">
              <w:rPr>
                <w:rFonts w:asciiTheme="majorHAnsi" w:hAnsiTheme="majorHAnsi" w:cs="Calibri"/>
                <w:sz w:val="19"/>
                <w:szCs w:val="19"/>
              </w:rPr>
              <w:t>% στα €</w:t>
            </w:r>
            <w:r w:rsidR="00FB384A" w:rsidRPr="00C74907">
              <w:rPr>
                <w:rFonts w:asciiTheme="majorHAnsi" w:hAnsiTheme="majorHAnsi" w:cs="Calibri"/>
                <w:sz w:val="19"/>
                <w:szCs w:val="19"/>
              </w:rPr>
              <w:t>2</w:t>
            </w:r>
            <w:r w:rsidR="00FB384A">
              <w:rPr>
                <w:rFonts w:asciiTheme="majorHAnsi" w:hAnsiTheme="majorHAnsi" w:cs="Calibri"/>
                <w:sz w:val="19"/>
                <w:szCs w:val="19"/>
              </w:rPr>
              <w:t>6</w:t>
            </w:r>
            <w:r w:rsidR="00FF0E5A">
              <w:rPr>
                <w:rFonts w:asciiTheme="majorHAnsi" w:hAnsiTheme="majorHAnsi" w:cs="Calibri"/>
                <w:sz w:val="19"/>
                <w:szCs w:val="19"/>
              </w:rPr>
              <w:t>3</w:t>
            </w:r>
            <w:r w:rsidR="00FB384A" w:rsidRPr="00C74907">
              <w:rPr>
                <w:rFonts w:asciiTheme="majorHAnsi" w:hAnsiTheme="majorHAnsi" w:cs="Calibri"/>
                <w:sz w:val="19"/>
                <w:szCs w:val="19"/>
              </w:rPr>
              <w:t xml:space="preserve"> </w:t>
            </w:r>
            <w:r w:rsidRPr="00C74907">
              <w:rPr>
                <w:rFonts w:asciiTheme="majorHAnsi" w:hAnsiTheme="majorHAnsi" w:cs="Calibri"/>
                <w:sz w:val="19"/>
                <w:szCs w:val="19"/>
              </w:rPr>
              <w:t>εκατ</w:t>
            </w:r>
            <w:r w:rsidR="003150F5">
              <w:rPr>
                <w:rFonts w:asciiTheme="majorHAnsi" w:hAnsiTheme="majorHAnsi" w:cs="Calibri"/>
                <w:sz w:val="19"/>
                <w:szCs w:val="19"/>
              </w:rPr>
              <w:t>.</w:t>
            </w:r>
            <w:r w:rsidR="00561215">
              <w:rPr>
                <w:rFonts w:asciiTheme="majorHAnsi" w:hAnsiTheme="majorHAnsi" w:cs="Calibri"/>
                <w:sz w:val="19"/>
                <w:szCs w:val="19"/>
              </w:rPr>
              <w:t xml:space="preserve"> </w:t>
            </w:r>
            <w:r w:rsidR="00FF0E5A">
              <w:rPr>
                <w:rFonts w:asciiTheme="majorHAnsi" w:hAnsiTheme="majorHAnsi" w:cs="Calibri"/>
                <w:sz w:val="19"/>
                <w:szCs w:val="19"/>
              </w:rPr>
              <w:t>Τ</w:t>
            </w:r>
            <w:r w:rsidR="00561215">
              <w:rPr>
                <w:rFonts w:asciiTheme="majorHAnsi" w:hAnsiTheme="majorHAnsi" w:cs="Calibri"/>
                <w:sz w:val="19"/>
                <w:szCs w:val="19"/>
              </w:rPr>
              <w:t xml:space="preserve">α οργανικά έσοδα </w:t>
            </w:r>
            <w:r w:rsidR="00FF0E5A">
              <w:rPr>
                <w:rFonts w:asciiTheme="majorHAnsi" w:hAnsiTheme="majorHAnsi" w:cs="Calibri"/>
                <w:sz w:val="19"/>
                <w:szCs w:val="19"/>
              </w:rPr>
              <w:t>(καθαρά έσοδα τόκων και προμηθειών) συνιστούν το 95% των καθαρών λειτουργικών εσόδων και</w:t>
            </w:r>
            <w:r w:rsidR="00561215">
              <w:rPr>
                <w:rFonts w:asciiTheme="majorHAnsi" w:hAnsiTheme="majorHAnsi" w:cs="Calibri"/>
                <w:sz w:val="19"/>
                <w:szCs w:val="19"/>
              </w:rPr>
              <w:t xml:space="preserve"> αυξήθηκαν κατά </w:t>
            </w:r>
            <w:r w:rsidR="00FF0E5A">
              <w:rPr>
                <w:rFonts w:asciiTheme="majorHAnsi" w:hAnsiTheme="majorHAnsi" w:cs="Calibri"/>
                <w:sz w:val="19"/>
                <w:szCs w:val="19"/>
              </w:rPr>
              <w:t>2</w:t>
            </w:r>
            <w:r w:rsidR="00561215">
              <w:rPr>
                <w:rFonts w:asciiTheme="majorHAnsi" w:hAnsiTheme="majorHAnsi" w:cs="Calibri"/>
                <w:sz w:val="19"/>
                <w:szCs w:val="19"/>
              </w:rPr>
              <w:t>%</w:t>
            </w:r>
            <w:r w:rsidR="00FF0E5A">
              <w:rPr>
                <w:rFonts w:asciiTheme="majorHAnsi" w:hAnsiTheme="majorHAnsi" w:cs="Calibri"/>
                <w:sz w:val="19"/>
                <w:szCs w:val="19"/>
              </w:rPr>
              <w:t xml:space="preserve"> </w:t>
            </w:r>
            <w:proofErr w:type="spellStart"/>
            <w:r w:rsidR="00FF0E5A">
              <w:rPr>
                <w:rFonts w:asciiTheme="majorHAnsi" w:hAnsiTheme="majorHAnsi" w:cs="Calibri"/>
                <w:sz w:val="19"/>
                <w:szCs w:val="19"/>
              </w:rPr>
              <w:t>τριμηναίως</w:t>
            </w:r>
            <w:proofErr w:type="spellEnd"/>
            <w:r w:rsidR="00561215">
              <w:rPr>
                <w:rFonts w:asciiTheme="majorHAnsi" w:hAnsiTheme="majorHAnsi" w:cs="Calibri"/>
                <w:sz w:val="19"/>
                <w:szCs w:val="19"/>
              </w:rPr>
              <w:t xml:space="preserve">. </w:t>
            </w:r>
          </w:p>
        </w:tc>
      </w:tr>
      <w:tr w:rsidR="00653FBA" w:rsidRPr="00C74907" w:rsidTr="004F197F">
        <w:trPr>
          <w:trHeight w:val="1288"/>
        </w:trPr>
        <w:tc>
          <w:tcPr>
            <w:tcW w:w="678" w:type="dxa"/>
            <w:tcMar>
              <w:top w:w="227" w:type="dxa"/>
              <w:bottom w:w="227" w:type="dxa"/>
            </w:tcMar>
          </w:tcPr>
          <w:p w:rsidR="00653FBA" w:rsidRPr="00561215" w:rsidRDefault="009647C8" w:rsidP="00003855">
            <w:pPr>
              <w:tabs>
                <w:tab w:val="left" w:pos="8262"/>
              </w:tabs>
              <w:spacing w:after="60"/>
              <w:ind w:right="74"/>
              <w:contextualSpacing/>
              <w:jc w:val="both"/>
              <w:rPr>
                <w:rFonts w:asciiTheme="majorHAnsi" w:hAnsiTheme="majorHAnsi" w:cs="Calibri"/>
                <w:b/>
              </w:rPr>
            </w:pPr>
            <w:r w:rsidRPr="00C74907">
              <w:rPr>
                <w:rFonts w:asciiTheme="majorHAnsi" w:hAnsiTheme="majorHAnsi" w:cs="Calibri"/>
                <w:b/>
                <w:noProof/>
                <w:lang w:val="en-US" w:eastAsia="en-US"/>
              </w:rPr>
              <w:drawing>
                <wp:inline distT="0" distB="0" distL="0" distR="0">
                  <wp:extent cx="292584" cy="292584"/>
                  <wp:effectExtent l="0" t="0" r="0" b="0"/>
                  <wp:docPr id="100" name="Εικόνα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lletTick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84" cy="292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  <w:tcMar>
              <w:top w:w="227" w:type="dxa"/>
              <w:bottom w:w="227" w:type="dxa"/>
            </w:tcMar>
          </w:tcPr>
          <w:p w:rsidR="00653FBA" w:rsidRPr="00C74907" w:rsidRDefault="00242D85" w:rsidP="00FF0E5A">
            <w:pPr>
              <w:jc w:val="both"/>
              <w:rPr>
                <w:rFonts w:asciiTheme="majorHAnsi" w:hAnsiTheme="majorHAnsi" w:cs="Calibri"/>
                <w:sz w:val="19"/>
                <w:szCs w:val="19"/>
              </w:rPr>
            </w:pPr>
            <w:r w:rsidRPr="00C74907">
              <w:rPr>
                <w:rFonts w:asciiTheme="majorHAnsi" w:hAnsiTheme="majorHAnsi" w:cs="Calibri"/>
                <w:sz w:val="19"/>
                <w:szCs w:val="19"/>
              </w:rPr>
              <w:t xml:space="preserve">Τα </w:t>
            </w:r>
            <w:r w:rsidRPr="00C74907">
              <w:rPr>
                <w:rFonts w:asciiTheme="majorHAnsi" w:hAnsiTheme="majorHAnsi" w:cs="Calibri"/>
                <w:b/>
                <w:sz w:val="19"/>
                <w:szCs w:val="19"/>
              </w:rPr>
              <w:t>καθαρά έντοκα έσοδα</w:t>
            </w:r>
            <w:r w:rsidRPr="00C74907">
              <w:rPr>
                <w:rFonts w:asciiTheme="majorHAnsi" w:hAnsiTheme="majorHAnsi" w:cs="Calibri"/>
                <w:sz w:val="19"/>
                <w:szCs w:val="19"/>
              </w:rPr>
              <w:t xml:space="preserve"> του Ομίλου διαμορφώθηκαν σε €478 εκατ., αυξημένα κατά 3% έναντι του 4ου 3μηνου 2015, ευνοημένα από τον περιορισμό </w:t>
            </w:r>
            <w:r w:rsidR="00561215">
              <w:rPr>
                <w:rFonts w:asciiTheme="majorHAnsi" w:hAnsiTheme="majorHAnsi" w:cs="Calibri"/>
                <w:sz w:val="19"/>
                <w:szCs w:val="19"/>
              </w:rPr>
              <w:t xml:space="preserve">της </w:t>
            </w:r>
            <w:r w:rsidRPr="00C74907">
              <w:rPr>
                <w:rFonts w:asciiTheme="majorHAnsi" w:hAnsiTheme="majorHAnsi" w:cs="Calibri"/>
                <w:sz w:val="19"/>
                <w:szCs w:val="19"/>
              </w:rPr>
              <w:t xml:space="preserve">χρήσης εγγυήσεων </w:t>
            </w:r>
            <w:r w:rsidR="00561215">
              <w:rPr>
                <w:rFonts w:asciiTheme="majorHAnsi" w:hAnsiTheme="majorHAnsi" w:cs="Calibri"/>
                <w:sz w:val="19"/>
                <w:szCs w:val="19"/>
              </w:rPr>
              <w:t xml:space="preserve">του </w:t>
            </w:r>
            <w:r w:rsidRPr="00C74907">
              <w:rPr>
                <w:rFonts w:asciiTheme="majorHAnsi" w:hAnsiTheme="majorHAnsi" w:cs="Calibri"/>
                <w:sz w:val="19"/>
                <w:szCs w:val="19"/>
              </w:rPr>
              <w:t>Ν.3723</w:t>
            </w:r>
            <w:r w:rsidR="009137D9">
              <w:rPr>
                <w:rFonts w:asciiTheme="majorHAnsi" w:hAnsiTheme="majorHAnsi" w:cs="Calibri"/>
                <w:sz w:val="19"/>
                <w:szCs w:val="19"/>
              </w:rPr>
              <w:t>/2008</w:t>
            </w:r>
            <w:r w:rsidR="00561215">
              <w:rPr>
                <w:rFonts w:asciiTheme="majorHAnsi" w:hAnsiTheme="majorHAnsi" w:cs="Calibri"/>
                <w:sz w:val="19"/>
                <w:szCs w:val="19"/>
              </w:rPr>
              <w:t xml:space="preserve">, τη μείωση της χρήσης του </w:t>
            </w:r>
            <w:r w:rsidR="00561215">
              <w:rPr>
                <w:rFonts w:asciiTheme="majorHAnsi" w:hAnsiTheme="majorHAnsi" w:cs="Calibri"/>
                <w:sz w:val="19"/>
                <w:szCs w:val="19"/>
                <w:lang w:val="en-US"/>
              </w:rPr>
              <w:t>ELA</w:t>
            </w:r>
            <w:r w:rsidRPr="00C74907">
              <w:rPr>
                <w:rFonts w:asciiTheme="majorHAnsi" w:hAnsiTheme="majorHAnsi" w:cs="Calibri"/>
                <w:sz w:val="19"/>
                <w:szCs w:val="19"/>
              </w:rPr>
              <w:t xml:space="preserve"> και τ</w:t>
            </w:r>
            <w:r w:rsidR="009137D9">
              <w:rPr>
                <w:rFonts w:asciiTheme="majorHAnsi" w:hAnsiTheme="majorHAnsi" w:cs="Calibri"/>
                <w:sz w:val="19"/>
                <w:szCs w:val="19"/>
              </w:rPr>
              <w:t>η</w:t>
            </w:r>
            <w:r w:rsidRPr="00C74907">
              <w:rPr>
                <w:rFonts w:asciiTheme="majorHAnsi" w:hAnsiTheme="majorHAnsi" w:cs="Calibri"/>
                <w:sz w:val="19"/>
                <w:szCs w:val="19"/>
              </w:rPr>
              <w:t xml:space="preserve">ν περαιτέρω </w:t>
            </w:r>
            <w:r w:rsidR="009137D9">
              <w:rPr>
                <w:rFonts w:asciiTheme="majorHAnsi" w:hAnsiTheme="majorHAnsi" w:cs="Calibri"/>
                <w:sz w:val="19"/>
                <w:szCs w:val="19"/>
              </w:rPr>
              <w:t xml:space="preserve">αποκλιμάκωση </w:t>
            </w:r>
            <w:r w:rsidRPr="00C74907">
              <w:rPr>
                <w:rFonts w:asciiTheme="majorHAnsi" w:hAnsiTheme="majorHAnsi" w:cs="Calibri"/>
                <w:sz w:val="19"/>
                <w:szCs w:val="19"/>
              </w:rPr>
              <w:t xml:space="preserve">του κόστους </w:t>
            </w:r>
            <w:r w:rsidR="009137D9">
              <w:rPr>
                <w:rFonts w:asciiTheme="majorHAnsi" w:hAnsiTheme="majorHAnsi" w:cs="Calibri"/>
                <w:sz w:val="19"/>
                <w:szCs w:val="19"/>
              </w:rPr>
              <w:t>των προθεσμιακών καταθέσεων. Σημειώνεται ότι η Τράπεζα Πειραιώς αποδεσμεύθηκε πλήρως από τη χρήση του Ν.3723 στα τέλη Απριλίου</w:t>
            </w:r>
            <w:r w:rsidR="008816BF">
              <w:rPr>
                <w:rFonts w:asciiTheme="majorHAnsi" w:hAnsiTheme="majorHAnsi" w:cs="Calibri"/>
                <w:sz w:val="19"/>
                <w:szCs w:val="19"/>
              </w:rPr>
              <w:t xml:space="preserve"> 2016</w:t>
            </w:r>
            <w:r w:rsidR="009137D9">
              <w:rPr>
                <w:rFonts w:asciiTheme="majorHAnsi" w:hAnsiTheme="majorHAnsi" w:cs="Calibri"/>
                <w:sz w:val="19"/>
                <w:szCs w:val="19"/>
              </w:rPr>
              <w:t xml:space="preserve">, </w:t>
            </w:r>
            <w:r w:rsidR="00FF0E5A">
              <w:rPr>
                <w:rFonts w:asciiTheme="majorHAnsi" w:hAnsiTheme="majorHAnsi" w:cs="Calibri"/>
                <w:sz w:val="19"/>
                <w:szCs w:val="19"/>
              </w:rPr>
              <w:t>πρώτη</w:t>
            </w:r>
            <w:r w:rsidR="009137D9">
              <w:rPr>
                <w:rFonts w:asciiTheme="majorHAnsi" w:hAnsiTheme="majorHAnsi" w:cs="Calibri"/>
                <w:sz w:val="19"/>
                <w:szCs w:val="19"/>
              </w:rPr>
              <w:t xml:space="preserve"> μεταξύ των ελληνικών τραπεζών.</w:t>
            </w:r>
            <w:r w:rsidR="00FF0E5A">
              <w:rPr>
                <w:rFonts w:asciiTheme="majorHAnsi" w:hAnsiTheme="majorHAnsi" w:cs="Calibri"/>
                <w:sz w:val="19"/>
                <w:szCs w:val="19"/>
              </w:rPr>
              <w:t xml:space="preserve"> Βελτίωση του </w:t>
            </w:r>
            <w:r w:rsidR="00FF0E5A" w:rsidRPr="00FF0E5A">
              <w:rPr>
                <w:rFonts w:asciiTheme="majorHAnsi" w:hAnsiTheme="majorHAnsi" w:cs="Calibri"/>
                <w:b/>
                <w:sz w:val="19"/>
                <w:szCs w:val="19"/>
              </w:rPr>
              <w:t xml:space="preserve">καθαρού </w:t>
            </w:r>
            <w:proofErr w:type="spellStart"/>
            <w:r w:rsidR="00FF0E5A" w:rsidRPr="00FF0E5A">
              <w:rPr>
                <w:rFonts w:asciiTheme="majorHAnsi" w:hAnsiTheme="majorHAnsi" w:cs="Calibri"/>
                <w:b/>
                <w:sz w:val="19"/>
                <w:szCs w:val="19"/>
              </w:rPr>
              <w:t>επιτοκιακού</w:t>
            </w:r>
            <w:proofErr w:type="spellEnd"/>
            <w:r w:rsidR="00FF0E5A" w:rsidRPr="00FF0E5A">
              <w:rPr>
                <w:rFonts w:asciiTheme="majorHAnsi" w:hAnsiTheme="majorHAnsi" w:cs="Calibri"/>
                <w:b/>
                <w:sz w:val="19"/>
                <w:szCs w:val="19"/>
              </w:rPr>
              <w:t xml:space="preserve"> περιθωρίου</w:t>
            </w:r>
            <w:r w:rsidR="00FF0E5A">
              <w:rPr>
                <w:rFonts w:asciiTheme="majorHAnsi" w:hAnsiTheme="majorHAnsi" w:cs="Calibri"/>
                <w:sz w:val="19"/>
                <w:szCs w:val="19"/>
              </w:rPr>
              <w:t xml:space="preserve"> στο 2,81% από 2,69% το αμέσως προηγούμενο τρίμηνο.</w:t>
            </w:r>
          </w:p>
        </w:tc>
      </w:tr>
      <w:tr w:rsidR="00653FBA" w:rsidRPr="00C74907" w:rsidTr="004F197F">
        <w:trPr>
          <w:trHeight w:val="623"/>
        </w:trPr>
        <w:tc>
          <w:tcPr>
            <w:tcW w:w="678" w:type="dxa"/>
            <w:tcMar>
              <w:top w:w="227" w:type="dxa"/>
              <w:bottom w:w="227" w:type="dxa"/>
            </w:tcMar>
          </w:tcPr>
          <w:p w:rsidR="00653FBA" w:rsidRPr="00C74907" w:rsidRDefault="009647C8" w:rsidP="00003855">
            <w:pPr>
              <w:tabs>
                <w:tab w:val="left" w:pos="8262"/>
              </w:tabs>
              <w:spacing w:after="60"/>
              <w:ind w:right="74"/>
              <w:contextualSpacing/>
              <w:jc w:val="both"/>
              <w:rPr>
                <w:rFonts w:asciiTheme="majorHAnsi" w:hAnsiTheme="majorHAnsi" w:cs="Calibri"/>
                <w:b/>
                <w:lang w:val="en-US"/>
              </w:rPr>
            </w:pPr>
            <w:r w:rsidRPr="00C74907">
              <w:rPr>
                <w:rFonts w:asciiTheme="majorHAnsi" w:hAnsiTheme="majorHAnsi" w:cs="Calibri"/>
                <w:b/>
                <w:noProof/>
                <w:lang w:val="en-US" w:eastAsia="en-US"/>
              </w:rPr>
              <w:drawing>
                <wp:inline distT="0" distB="0" distL="0" distR="0">
                  <wp:extent cx="292584" cy="292584"/>
                  <wp:effectExtent l="0" t="0" r="0" b="0"/>
                  <wp:docPr id="102" name="Εικόνα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lletTick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84" cy="292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  <w:tcMar>
              <w:top w:w="227" w:type="dxa"/>
              <w:bottom w:w="227" w:type="dxa"/>
            </w:tcMar>
          </w:tcPr>
          <w:p w:rsidR="00653FBA" w:rsidRPr="00C74907" w:rsidRDefault="00242D85" w:rsidP="00523679">
            <w:pPr>
              <w:pStyle w:val="05PLAINTEXT"/>
              <w:spacing w:before="0" w:after="120"/>
              <w:ind w:left="0"/>
              <w:contextualSpacing w:val="0"/>
              <w:rPr>
                <w:color w:val="auto"/>
                <w:lang w:val="el-GR"/>
              </w:rPr>
            </w:pPr>
            <w:r w:rsidRPr="00C74907">
              <w:rPr>
                <w:color w:val="auto"/>
                <w:lang w:val="el-GR"/>
              </w:rPr>
              <w:t xml:space="preserve">Τα </w:t>
            </w:r>
            <w:r w:rsidRPr="00C74907">
              <w:rPr>
                <w:b/>
                <w:color w:val="auto"/>
                <w:lang w:val="el-GR"/>
              </w:rPr>
              <w:t>καθαρά έσοδα προμηθειών</w:t>
            </w:r>
            <w:r w:rsidRPr="00C74907">
              <w:rPr>
                <w:color w:val="auto"/>
                <w:lang w:val="el-GR"/>
              </w:rPr>
              <w:t xml:space="preserve"> </w:t>
            </w:r>
            <w:r w:rsidR="00523679">
              <w:rPr>
                <w:color w:val="auto"/>
                <w:lang w:val="el-GR"/>
              </w:rPr>
              <w:t xml:space="preserve">διαμορφώθηκαν </w:t>
            </w:r>
            <w:r w:rsidRPr="00C74907">
              <w:rPr>
                <w:color w:val="auto"/>
                <w:lang w:val="el-GR"/>
              </w:rPr>
              <w:t>στα €74 εκατ.</w:t>
            </w:r>
            <w:r w:rsidR="00523679">
              <w:rPr>
                <w:color w:val="auto"/>
                <w:lang w:val="el-GR"/>
              </w:rPr>
              <w:t xml:space="preserve"> </w:t>
            </w:r>
            <w:r w:rsidR="00523679" w:rsidRPr="00C74907">
              <w:rPr>
                <w:color w:val="auto"/>
                <w:lang w:val="el-GR"/>
              </w:rPr>
              <w:t>το 1ο 3μηνο 2016</w:t>
            </w:r>
            <w:r w:rsidRPr="00C74907">
              <w:rPr>
                <w:color w:val="auto"/>
                <w:lang w:val="el-GR"/>
              </w:rPr>
              <w:t xml:space="preserve">,  επηρεασμένα από </w:t>
            </w:r>
            <w:r w:rsidR="00523679">
              <w:rPr>
                <w:color w:val="auto"/>
                <w:lang w:val="el-GR"/>
              </w:rPr>
              <w:t>τις συνθήκες</w:t>
            </w:r>
            <w:r w:rsidRPr="00C74907">
              <w:rPr>
                <w:color w:val="auto"/>
                <w:lang w:val="el-GR"/>
              </w:rPr>
              <w:t xml:space="preserve"> του οικονομικού περιβάλλοντος</w:t>
            </w:r>
            <w:r w:rsidR="00523679">
              <w:rPr>
                <w:color w:val="auto"/>
                <w:lang w:val="el-GR"/>
              </w:rPr>
              <w:t xml:space="preserve"> (-1,3% ΑΕΠ στην Ελλάδα σε ετήσια βάση)</w:t>
            </w:r>
            <w:r w:rsidRPr="00C74907">
              <w:rPr>
                <w:color w:val="auto"/>
                <w:lang w:val="el-GR"/>
              </w:rPr>
              <w:t>, εν αναμονή και της ολοκλήρωσης της αξιολόγησης</w:t>
            </w:r>
            <w:r w:rsidR="00523679">
              <w:rPr>
                <w:color w:val="auto"/>
                <w:lang w:val="el-GR"/>
              </w:rPr>
              <w:t xml:space="preserve"> του προγράμματος οικονομικής προσαρμογής</w:t>
            </w:r>
            <w:r w:rsidRPr="00C74907">
              <w:rPr>
                <w:color w:val="auto"/>
                <w:lang w:val="el-GR"/>
              </w:rPr>
              <w:t xml:space="preserve">. </w:t>
            </w:r>
          </w:p>
        </w:tc>
      </w:tr>
      <w:tr w:rsidR="00653FBA" w:rsidRPr="00C74907" w:rsidTr="00256ECB">
        <w:trPr>
          <w:trHeight w:val="370"/>
        </w:trPr>
        <w:tc>
          <w:tcPr>
            <w:tcW w:w="678" w:type="dxa"/>
            <w:tcMar>
              <w:top w:w="227" w:type="dxa"/>
              <w:bottom w:w="227" w:type="dxa"/>
            </w:tcMar>
          </w:tcPr>
          <w:p w:rsidR="00653FBA" w:rsidRPr="00C74907" w:rsidRDefault="009647C8" w:rsidP="00003855">
            <w:pPr>
              <w:tabs>
                <w:tab w:val="left" w:pos="8262"/>
              </w:tabs>
              <w:spacing w:after="60"/>
              <w:ind w:right="74"/>
              <w:contextualSpacing/>
              <w:jc w:val="both"/>
              <w:rPr>
                <w:rFonts w:asciiTheme="majorHAnsi" w:hAnsiTheme="majorHAnsi" w:cs="Calibri"/>
                <w:b/>
                <w:lang w:val="en-US"/>
              </w:rPr>
            </w:pPr>
            <w:r w:rsidRPr="00C74907">
              <w:rPr>
                <w:rFonts w:asciiTheme="majorHAnsi" w:hAnsiTheme="majorHAnsi" w:cs="Calibri"/>
                <w:b/>
                <w:noProof/>
                <w:lang w:val="en-US" w:eastAsia="en-US"/>
              </w:rPr>
              <w:drawing>
                <wp:inline distT="0" distB="0" distL="0" distR="0">
                  <wp:extent cx="292584" cy="292584"/>
                  <wp:effectExtent l="0" t="0" r="0" b="0"/>
                  <wp:docPr id="103" name="Εικόνα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lletTick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84" cy="292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  <w:tcMar>
              <w:top w:w="227" w:type="dxa"/>
              <w:bottom w:w="227" w:type="dxa"/>
            </w:tcMar>
          </w:tcPr>
          <w:p w:rsidR="00653FBA" w:rsidRPr="00C74907" w:rsidRDefault="00242D85" w:rsidP="00256ECB">
            <w:pPr>
              <w:pStyle w:val="05PLAINTEXT"/>
              <w:spacing w:before="0" w:after="120"/>
              <w:ind w:left="0"/>
              <w:contextualSpacing w:val="0"/>
              <w:rPr>
                <w:color w:val="auto"/>
                <w:lang w:val="el-GR"/>
              </w:rPr>
            </w:pPr>
            <w:r w:rsidRPr="00C74907">
              <w:rPr>
                <w:color w:val="auto"/>
                <w:lang w:val="el-GR"/>
              </w:rPr>
              <w:t xml:space="preserve">Τα </w:t>
            </w:r>
            <w:r w:rsidR="00256ECB">
              <w:rPr>
                <w:color w:val="auto"/>
                <w:lang w:val="el-GR"/>
              </w:rPr>
              <w:t xml:space="preserve">συνολικά </w:t>
            </w:r>
            <w:r w:rsidRPr="00C74907">
              <w:rPr>
                <w:b/>
                <w:color w:val="auto"/>
                <w:lang w:val="el-GR"/>
              </w:rPr>
              <w:t>καθαρά λειτουργικά έσοδα</w:t>
            </w:r>
            <w:r w:rsidRPr="00C74907">
              <w:rPr>
                <w:color w:val="auto"/>
                <w:lang w:val="el-GR"/>
              </w:rPr>
              <w:t xml:space="preserve"> </w:t>
            </w:r>
            <w:r w:rsidRPr="00C74907">
              <w:rPr>
                <w:color w:val="000000" w:themeColor="text1" w:themeShade="80"/>
                <w:lang w:val="el-GR"/>
              </w:rPr>
              <w:t>ανήλθαν στο 1ο 3μηνο 2016 σε €</w:t>
            </w:r>
            <w:r w:rsidR="00FB384A" w:rsidRPr="00C74907">
              <w:rPr>
                <w:color w:val="000000" w:themeColor="text1" w:themeShade="80"/>
                <w:lang w:val="el-GR"/>
              </w:rPr>
              <w:t>5</w:t>
            </w:r>
            <w:r w:rsidR="00256ECB">
              <w:rPr>
                <w:color w:val="000000" w:themeColor="text1" w:themeShade="80"/>
                <w:lang w:val="el-GR"/>
              </w:rPr>
              <w:t>81</w:t>
            </w:r>
            <w:r w:rsidR="00FB384A" w:rsidRPr="00C74907">
              <w:rPr>
                <w:color w:val="000000" w:themeColor="text1" w:themeShade="80"/>
                <w:lang w:val="el-GR"/>
              </w:rPr>
              <w:t xml:space="preserve"> </w:t>
            </w:r>
            <w:proofErr w:type="spellStart"/>
            <w:r w:rsidRPr="00C74907">
              <w:rPr>
                <w:color w:val="000000" w:themeColor="text1" w:themeShade="80"/>
                <w:lang w:val="el-GR"/>
              </w:rPr>
              <w:t>εκατ</w:t>
            </w:r>
            <w:proofErr w:type="spellEnd"/>
            <w:r w:rsidR="00256ECB">
              <w:rPr>
                <w:color w:val="000000" w:themeColor="text1" w:themeShade="80"/>
                <w:lang w:val="el-GR"/>
              </w:rPr>
              <w:t xml:space="preserve">, αυξημένα κατά 2% </w:t>
            </w:r>
            <w:r w:rsidR="00FB384A">
              <w:rPr>
                <w:color w:val="000000" w:themeColor="text1" w:themeShade="80"/>
                <w:lang w:val="el-GR"/>
              </w:rPr>
              <w:t>σε ετήσια βάση</w:t>
            </w:r>
            <w:r w:rsidRPr="00C74907">
              <w:rPr>
                <w:color w:val="000000" w:themeColor="text1" w:themeShade="80"/>
                <w:lang w:val="el-GR"/>
              </w:rPr>
              <w:t>.</w:t>
            </w:r>
            <w:r w:rsidR="004F197F">
              <w:rPr>
                <w:color w:val="000000" w:themeColor="text1" w:themeShade="80"/>
                <w:lang w:val="el-GR"/>
              </w:rPr>
              <w:t xml:space="preserve"> </w:t>
            </w:r>
            <w:r w:rsidR="004F197F" w:rsidRPr="00C74907">
              <w:rPr>
                <w:color w:val="auto"/>
                <w:lang w:val="el-GR"/>
              </w:rPr>
              <w:t xml:space="preserve">Το </w:t>
            </w:r>
            <w:r w:rsidR="004F197F" w:rsidRPr="00C74907">
              <w:rPr>
                <w:b/>
                <w:color w:val="auto"/>
                <w:lang w:val="el-GR"/>
              </w:rPr>
              <w:t>λειτουργικό κόστος</w:t>
            </w:r>
            <w:r w:rsidR="004F197F" w:rsidRPr="00C74907">
              <w:rPr>
                <w:color w:val="auto"/>
                <w:lang w:val="el-GR"/>
              </w:rPr>
              <w:t xml:space="preserve"> </w:t>
            </w:r>
            <w:r w:rsidR="004F197F">
              <w:rPr>
                <w:color w:val="auto"/>
                <w:lang w:val="el-GR"/>
              </w:rPr>
              <w:t xml:space="preserve">διαμορφώθηκε </w:t>
            </w:r>
            <w:r w:rsidR="004F197F" w:rsidRPr="00C74907">
              <w:rPr>
                <w:color w:val="auto"/>
                <w:lang w:val="el-GR"/>
              </w:rPr>
              <w:t>στα €3</w:t>
            </w:r>
            <w:r w:rsidR="004F197F">
              <w:rPr>
                <w:color w:val="auto"/>
                <w:lang w:val="el-GR"/>
              </w:rPr>
              <w:t>18</w:t>
            </w:r>
            <w:r w:rsidR="004F197F" w:rsidRPr="00C74907">
              <w:rPr>
                <w:color w:val="auto"/>
                <w:lang w:val="el-GR"/>
              </w:rPr>
              <w:t xml:space="preserve"> εκατ., μειωμένο κατά </w:t>
            </w:r>
            <w:r w:rsidR="004F197F">
              <w:rPr>
                <w:color w:val="auto"/>
                <w:lang w:val="el-GR"/>
              </w:rPr>
              <w:t>3</w:t>
            </w:r>
            <w:r w:rsidR="004F197F" w:rsidRPr="00C74907">
              <w:rPr>
                <w:color w:val="auto"/>
                <w:lang w:val="el-GR"/>
              </w:rPr>
              <w:t xml:space="preserve">% σε σχέση με το </w:t>
            </w:r>
            <w:r w:rsidR="004F197F">
              <w:rPr>
                <w:color w:val="auto"/>
                <w:lang w:val="el-GR"/>
              </w:rPr>
              <w:t>1ο</w:t>
            </w:r>
            <w:r w:rsidR="004F197F" w:rsidRPr="00C74907">
              <w:rPr>
                <w:color w:val="auto"/>
                <w:lang w:val="el-GR"/>
              </w:rPr>
              <w:t xml:space="preserve"> 3μηνο 2015.</w:t>
            </w:r>
          </w:p>
        </w:tc>
      </w:tr>
      <w:tr w:rsidR="00653FBA" w:rsidRPr="00C74907" w:rsidTr="00EF4021">
        <w:trPr>
          <w:trHeight w:val="2030"/>
        </w:trPr>
        <w:tc>
          <w:tcPr>
            <w:tcW w:w="678" w:type="dxa"/>
            <w:tcMar>
              <w:top w:w="227" w:type="dxa"/>
              <w:bottom w:w="227" w:type="dxa"/>
            </w:tcMar>
          </w:tcPr>
          <w:p w:rsidR="00653FBA" w:rsidRPr="00C74907" w:rsidRDefault="009647C8" w:rsidP="00003855">
            <w:pPr>
              <w:tabs>
                <w:tab w:val="left" w:pos="8262"/>
              </w:tabs>
              <w:spacing w:after="60"/>
              <w:ind w:right="74"/>
              <w:contextualSpacing/>
              <w:jc w:val="both"/>
              <w:rPr>
                <w:rFonts w:asciiTheme="majorHAnsi" w:hAnsiTheme="majorHAnsi" w:cs="Calibri"/>
                <w:b/>
                <w:lang w:val="en-US"/>
              </w:rPr>
            </w:pPr>
            <w:r w:rsidRPr="00C74907">
              <w:rPr>
                <w:rFonts w:asciiTheme="majorHAnsi" w:hAnsiTheme="majorHAnsi" w:cs="Calibri"/>
                <w:b/>
                <w:noProof/>
                <w:lang w:val="en-US" w:eastAsia="en-US"/>
              </w:rPr>
              <w:drawing>
                <wp:inline distT="0" distB="0" distL="0" distR="0">
                  <wp:extent cx="292584" cy="292584"/>
                  <wp:effectExtent l="0" t="0" r="0" b="0"/>
                  <wp:docPr id="105" name="Εικόνα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lletTick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84" cy="292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  <w:tcMar>
              <w:top w:w="227" w:type="dxa"/>
              <w:bottom w:w="227" w:type="dxa"/>
            </w:tcMar>
          </w:tcPr>
          <w:p w:rsidR="00653FBA" w:rsidRPr="00C74907" w:rsidRDefault="00242D85" w:rsidP="00226A35">
            <w:pPr>
              <w:pStyle w:val="05PLAINTEXT"/>
              <w:spacing w:before="0" w:after="120"/>
              <w:ind w:left="0"/>
              <w:contextualSpacing w:val="0"/>
              <w:rPr>
                <w:color w:val="auto"/>
                <w:lang w:val="el-GR"/>
              </w:rPr>
            </w:pPr>
            <w:r w:rsidRPr="00C867D3">
              <w:rPr>
                <w:color w:val="auto"/>
                <w:lang w:val="el-GR"/>
              </w:rPr>
              <w:t xml:space="preserve">Ο </w:t>
            </w:r>
            <w:r w:rsidRPr="00256ECB">
              <w:rPr>
                <w:b/>
                <w:color w:val="auto"/>
                <w:lang w:val="el-GR"/>
              </w:rPr>
              <w:t>δείκτης δανείων σε καθυστέρηση άνω των 90 ημερών</w:t>
            </w:r>
            <w:r w:rsidRPr="00EF4021">
              <w:rPr>
                <w:color w:val="auto"/>
                <w:lang w:val="el-GR"/>
              </w:rPr>
              <w:t xml:space="preserve"> </w:t>
            </w:r>
            <w:r w:rsidR="00E847A2" w:rsidRPr="00E847A2">
              <w:rPr>
                <w:color w:val="auto"/>
                <w:lang w:val="el-GR"/>
              </w:rPr>
              <w:t>διαμορφώθηκε</w:t>
            </w:r>
            <w:r w:rsidRPr="00C867D3">
              <w:rPr>
                <w:color w:val="auto"/>
                <w:lang w:val="el-GR"/>
              </w:rPr>
              <w:t xml:space="preserve"> στο 39,8%, με το </w:t>
            </w:r>
            <w:r w:rsidR="00E847A2">
              <w:rPr>
                <w:color w:val="auto"/>
                <w:lang w:val="el-GR"/>
              </w:rPr>
              <w:t>υπόλοιπό</w:t>
            </w:r>
            <w:r w:rsidRPr="00C867D3">
              <w:rPr>
                <w:color w:val="auto"/>
                <w:lang w:val="el-GR"/>
              </w:rPr>
              <w:t xml:space="preserve"> τους να μειώνεται σημαντικά για δεύτερο συνεχόμενο 3μηνο (η μείωση από το τέλος Σεπτεμβρίου 2015 έφτασε τα €1,2 δισ.). Ο σχηματισμός νέων καθυστερήσεων δανείων </w:t>
            </w:r>
            <w:r w:rsidR="00DF3238">
              <w:rPr>
                <w:color w:val="auto"/>
                <w:lang w:val="el-GR"/>
              </w:rPr>
              <w:t xml:space="preserve">κινήθηκε βάσει των εκτιμήσεων </w:t>
            </w:r>
            <w:r w:rsidR="00226A35" w:rsidRPr="004F197F">
              <w:rPr>
                <w:color w:val="auto"/>
                <w:lang w:val="el-GR"/>
              </w:rPr>
              <w:t>της Τρ</w:t>
            </w:r>
            <w:r w:rsidR="00226A35">
              <w:rPr>
                <w:color w:val="auto"/>
                <w:lang w:val="el-GR"/>
              </w:rPr>
              <w:t>άπεζας</w:t>
            </w:r>
            <w:r w:rsidR="00DF3238">
              <w:rPr>
                <w:color w:val="auto"/>
                <w:lang w:val="el-GR"/>
              </w:rPr>
              <w:t xml:space="preserve"> στα τέλη 2015 και </w:t>
            </w:r>
            <w:r w:rsidRPr="00C867D3">
              <w:rPr>
                <w:color w:val="auto"/>
                <w:lang w:val="el-GR"/>
              </w:rPr>
              <w:t>ήταν αρνητικός</w:t>
            </w:r>
            <w:r w:rsidR="00DF3238">
              <w:rPr>
                <w:color w:val="auto"/>
                <w:lang w:val="el-GR"/>
              </w:rPr>
              <w:t>,</w:t>
            </w:r>
            <w:r w:rsidRPr="00C867D3">
              <w:rPr>
                <w:color w:val="auto"/>
                <w:lang w:val="el-GR"/>
              </w:rPr>
              <w:t xml:space="preserve"> διαμορφ</w:t>
            </w:r>
            <w:r w:rsidR="00DF3238">
              <w:rPr>
                <w:color w:val="auto"/>
                <w:lang w:val="el-GR"/>
              </w:rPr>
              <w:t>ούμενος</w:t>
            </w:r>
            <w:r w:rsidRPr="00C867D3">
              <w:rPr>
                <w:color w:val="auto"/>
                <w:lang w:val="el-GR"/>
              </w:rPr>
              <w:t xml:space="preserve"> για το 1</w:t>
            </w:r>
            <w:r w:rsidRPr="00EF4021">
              <w:rPr>
                <w:color w:val="auto"/>
                <w:lang w:val="el-GR"/>
              </w:rPr>
              <w:t>ο</w:t>
            </w:r>
            <w:r w:rsidRPr="00C867D3">
              <w:rPr>
                <w:color w:val="auto"/>
                <w:lang w:val="el-GR"/>
              </w:rPr>
              <w:t xml:space="preserve"> 3μηνο 2016 σε -€24</w:t>
            </w:r>
            <w:r w:rsidR="00E847A2">
              <w:rPr>
                <w:color w:val="auto"/>
                <w:lang w:val="el-GR"/>
              </w:rPr>
              <w:t>5</w:t>
            </w:r>
            <w:r w:rsidRPr="00C867D3">
              <w:rPr>
                <w:color w:val="auto"/>
                <w:lang w:val="el-GR"/>
              </w:rPr>
              <w:t xml:space="preserve"> εκατ. από </w:t>
            </w:r>
            <w:r w:rsidR="00E847A2">
              <w:rPr>
                <w:color w:val="auto"/>
                <w:lang w:val="el-GR"/>
              </w:rPr>
              <w:t>+</w:t>
            </w:r>
            <w:r w:rsidRPr="00C867D3">
              <w:rPr>
                <w:color w:val="auto"/>
                <w:lang w:val="el-GR"/>
              </w:rPr>
              <w:t>€80 εκατ. στο 4</w:t>
            </w:r>
            <w:r w:rsidRPr="00EF4021">
              <w:rPr>
                <w:color w:val="auto"/>
                <w:lang w:val="el-GR"/>
              </w:rPr>
              <w:t>ο</w:t>
            </w:r>
            <w:r w:rsidRPr="00C867D3">
              <w:rPr>
                <w:color w:val="auto"/>
                <w:lang w:val="el-GR"/>
              </w:rPr>
              <w:t xml:space="preserve"> </w:t>
            </w:r>
            <w:r w:rsidRPr="00EF4021">
              <w:rPr>
                <w:color w:val="auto"/>
                <w:lang w:val="el-GR"/>
              </w:rPr>
              <w:t>3μηνο</w:t>
            </w:r>
            <w:r w:rsidR="00E847A2" w:rsidRPr="00EF4021">
              <w:rPr>
                <w:color w:val="auto"/>
                <w:lang w:val="el-GR"/>
              </w:rPr>
              <w:t>,</w:t>
            </w:r>
            <w:r w:rsidRPr="00EF4021">
              <w:rPr>
                <w:color w:val="auto"/>
                <w:lang w:val="el-GR"/>
              </w:rPr>
              <w:t xml:space="preserve"> </w:t>
            </w:r>
            <w:r w:rsidR="00E847A2" w:rsidRPr="00EF4021">
              <w:rPr>
                <w:color w:val="auto"/>
                <w:lang w:val="el-GR"/>
              </w:rPr>
              <w:t>με αρνητική παραγωγή τόσο στην Ελλάδα όσο και στο εξωτερικό, αλλά και σε όλα τα δανειακά χαρτοφυλάκια</w:t>
            </w:r>
            <w:r w:rsidRPr="00C867D3">
              <w:rPr>
                <w:color w:val="auto"/>
                <w:lang w:val="el-GR"/>
              </w:rPr>
              <w:t xml:space="preserve">. </w:t>
            </w:r>
            <w:r w:rsidR="00DF3238">
              <w:rPr>
                <w:color w:val="auto"/>
                <w:lang w:val="el-GR"/>
              </w:rPr>
              <w:t>Παράλληλα, ο</w:t>
            </w:r>
            <w:r w:rsidRPr="00C867D3">
              <w:rPr>
                <w:color w:val="auto"/>
                <w:lang w:val="el-GR"/>
              </w:rPr>
              <w:t xml:space="preserve"> </w:t>
            </w:r>
            <w:r w:rsidRPr="00256ECB">
              <w:rPr>
                <w:b/>
                <w:color w:val="auto"/>
                <w:lang w:val="el-GR"/>
              </w:rPr>
              <w:t>δείκτης κάλυψης των δανείων σε καθυστέρηση από σωρευμένες προβλέψεις</w:t>
            </w:r>
            <w:r w:rsidRPr="00C867D3">
              <w:rPr>
                <w:color w:val="auto"/>
                <w:lang w:val="el-GR"/>
              </w:rPr>
              <w:t xml:space="preserve"> στο τέλος Μαρτίου 2016 ενισχύθηκε στο 66% από 65% στο τέλος Δεκεμβρίου 2015.</w:t>
            </w:r>
            <w:r w:rsidRPr="00C74907">
              <w:rPr>
                <w:color w:val="auto"/>
                <w:lang w:val="el-GR"/>
              </w:rPr>
              <w:t xml:space="preserve"> </w:t>
            </w:r>
          </w:p>
        </w:tc>
      </w:tr>
      <w:tr w:rsidR="00653FBA" w:rsidRPr="00C74907" w:rsidTr="00EF4021">
        <w:trPr>
          <w:trHeight w:val="1304"/>
        </w:trPr>
        <w:tc>
          <w:tcPr>
            <w:tcW w:w="678" w:type="dxa"/>
            <w:tcMar>
              <w:top w:w="227" w:type="dxa"/>
              <w:bottom w:w="227" w:type="dxa"/>
            </w:tcMar>
          </w:tcPr>
          <w:p w:rsidR="00653FBA" w:rsidRPr="00C74907" w:rsidRDefault="009647C8" w:rsidP="00003855">
            <w:pPr>
              <w:tabs>
                <w:tab w:val="left" w:pos="8262"/>
              </w:tabs>
              <w:spacing w:after="60"/>
              <w:ind w:right="74"/>
              <w:contextualSpacing/>
              <w:jc w:val="both"/>
              <w:rPr>
                <w:rFonts w:asciiTheme="majorHAnsi" w:hAnsiTheme="majorHAnsi" w:cs="Calibri"/>
                <w:b/>
                <w:lang w:val="en-US"/>
              </w:rPr>
            </w:pPr>
            <w:r w:rsidRPr="00C74907">
              <w:rPr>
                <w:rFonts w:asciiTheme="majorHAnsi" w:hAnsiTheme="majorHAnsi" w:cs="Calibri"/>
                <w:b/>
                <w:noProof/>
                <w:lang w:val="en-US" w:eastAsia="en-US"/>
              </w:rPr>
              <w:drawing>
                <wp:inline distT="0" distB="0" distL="0" distR="0">
                  <wp:extent cx="292584" cy="292584"/>
                  <wp:effectExtent l="0" t="0" r="0" b="0"/>
                  <wp:docPr id="106" name="Εικόνα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lletTick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84" cy="292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  <w:tcMar>
              <w:top w:w="227" w:type="dxa"/>
              <w:bottom w:w="227" w:type="dxa"/>
            </w:tcMar>
          </w:tcPr>
          <w:p w:rsidR="00653FBA" w:rsidRPr="00C74907" w:rsidRDefault="00242D85" w:rsidP="000E05A5">
            <w:pPr>
              <w:pStyle w:val="05PLAINTEXT"/>
              <w:spacing w:before="0" w:after="120"/>
              <w:ind w:left="0"/>
              <w:contextualSpacing w:val="0"/>
              <w:rPr>
                <w:b/>
                <w:color w:val="auto"/>
                <w:sz w:val="14"/>
                <w:szCs w:val="14"/>
                <w:highlight w:val="yellow"/>
                <w:lang w:val="el-GR"/>
              </w:rPr>
            </w:pPr>
            <w:r w:rsidRPr="000D4720">
              <w:rPr>
                <w:color w:val="auto"/>
                <w:lang w:val="el-GR"/>
              </w:rPr>
              <w:t xml:space="preserve">Οι </w:t>
            </w:r>
            <w:r w:rsidRPr="000D4720">
              <w:rPr>
                <w:b/>
                <w:color w:val="auto"/>
                <w:lang w:val="el-GR"/>
              </w:rPr>
              <w:t>προβλέψεις δανείων</w:t>
            </w:r>
            <w:r w:rsidRPr="000D4720">
              <w:rPr>
                <w:color w:val="auto"/>
                <w:lang w:val="el-GR"/>
              </w:rPr>
              <w:t xml:space="preserve"> στο 1ο 3μηνο 2016 σημείωσαν σημαντική </w:t>
            </w:r>
            <w:r w:rsidR="00DF3238">
              <w:rPr>
                <w:color w:val="auto"/>
                <w:lang w:val="el-GR"/>
              </w:rPr>
              <w:t>αποκλιμάκωση</w:t>
            </w:r>
            <w:r w:rsidR="00DF3238" w:rsidRPr="000D4720">
              <w:rPr>
                <w:color w:val="auto"/>
                <w:lang w:val="el-GR"/>
              </w:rPr>
              <w:t xml:space="preserve"> </w:t>
            </w:r>
            <w:r w:rsidRPr="000D4720">
              <w:rPr>
                <w:color w:val="auto"/>
                <w:lang w:val="el-GR"/>
              </w:rPr>
              <w:t>και ανήλθαν σε €289 εκατ. έναντι €1.384 εκατ. στο 4ο 3μηνο 2015</w:t>
            </w:r>
            <w:r w:rsidR="000D4720" w:rsidRPr="000D4720">
              <w:rPr>
                <w:color w:val="auto"/>
                <w:lang w:val="el-GR"/>
              </w:rPr>
              <w:t xml:space="preserve">. </w:t>
            </w:r>
            <w:r w:rsidRPr="000D4720">
              <w:rPr>
                <w:color w:val="auto"/>
                <w:lang w:val="el-GR"/>
              </w:rPr>
              <w:t xml:space="preserve">Το σημαντικό ύψος σωρευμένων προβλέψεων </w:t>
            </w:r>
            <w:r w:rsidR="000D4720" w:rsidRPr="000D4720">
              <w:rPr>
                <w:color w:val="auto"/>
                <w:lang w:val="el-GR"/>
              </w:rPr>
              <w:t xml:space="preserve">(26% επί των δανείων) </w:t>
            </w:r>
            <w:r w:rsidRPr="000D4720">
              <w:rPr>
                <w:color w:val="auto"/>
                <w:lang w:val="el-GR"/>
              </w:rPr>
              <w:t xml:space="preserve">δίνει τη δυνατότητα στην Τράπεζα να αντιμετωπίσει </w:t>
            </w:r>
            <w:r w:rsidR="00DF3238">
              <w:rPr>
                <w:color w:val="auto"/>
                <w:lang w:val="el-GR"/>
              </w:rPr>
              <w:t xml:space="preserve">αποτελεσματικά </w:t>
            </w:r>
            <w:r w:rsidRPr="000D4720">
              <w:rPr>
                <w:color w:val="auto"/>
                <w:lang w:val="el-GR"/>
              </w:rPr>
              <w:t xml:space="preserve">το </w:t>
            </w:r>
            <w:r w:rsidR="00DF3238">
              <w:rPr>
                <w:color w:val="auto"/>
                <w:lang w:val="el-GR"/>
              </w:rPr>
              <w:t>υπόλοιπο</w:t>
            </w:r>
            <w:r w:rsidRPr="000D4720">
              <w:rPr>
                <w:color w:val="auto"/>
                <w:lang w:val="el-GR"/>
              </w:rPr>
              <w:t xml:space="preserve"> των δανείων σε καθυστέρηση, κάτι το οποίο έχει ήδη ξεκινήσει να </w:t>
            </w:r>
            <w:r w:rsidR="000D4720" w:rsidRPr="000D4720">
              <w:rPr>
                <w:color w:val="auto"/>
                <w:lang w:val="el-GR"/>
              </w:rPr>
              <w:t xml:space="preserve">παράγει </w:t>
            </w:r>
            <w:r w:rsidR="000E05A5">
              <w:rPr>
                <w:color w:val="auto"/>
                <w:lang w:val="el-GR"/>
              </w:rPr>
              <w:t xml:space="preserve">απτά </w:t>
            </w:r>
            <w:r w:rsidR="000D4720" w:rsidRPr="000D4720">
              <w:rPr>
                <w:color w:val="auto"/>
                <w:lang w:val="el-GR"/>
              </w:rPr>
              <w:t>αποτελέσματα</w:t>
            </w:r>
            <w:r w:rsidRPr="000D4720">
              <w:rPr>
                <w:color w:val="auto"/>
                <w:lang w:val="el-GR"/>
              </w:rPr>
              <w:t xml:space="preserve"> μέσω της μονάδας </w:t>
            </w:r>
            <w:r w:rsidRPr="000D4720">
              <w:rPr>
                <w:color w:val="auto"/>
              </w:rPr>
              <w:t>Recovery</w:t>
            </w:r>
            <w:r w:rsidRPr="000D4720">
              <w:rPr>
                <w:color w:val="auto"/>
                <w:lang w:val="el-GR"/>
              </w:rPr>
              <w:t xml:space="preserve"> </w:t>
            </w:r>
            <w:r w:rsidRPr="000D4720">
              <w:rPr>
                <w:color w:val="auto"/>
              </w:rPr>
              <w:t>Banking</w:t>
            </w:r>
            <w:r w:rsidRPr="000D4720">
              <w:rPr>
                <w:color w:val="auto"/>
                <w:lang w:val="el-GR"/>
              </w:rPr>
              <w:t xml:space="preserve"> </w:t>
            </w:r>
            <w:r w:rsidRPr="000D4720">
              <w:rPr>
                <w:color w:val="auto"/>
              </w:rPr>
              <w:t>Unit</w:t>
            </w:r>
            <w:r w:rsidRPr="000D4720">
              <w:rPr>
                <w:color w:val="auto"/>
                <w:lang w:val="el-GR"/>
              </w:rPr>
              <w:t>.</w:t>
            </w:r>
          </w:p>
        </w:tc>
      </w:tr>
      <w:tr w:rsidR="00653FBA" w:rsidRPr="00C74907" w:rsidTr="00EF4021">
        <w:trPr>
          <w:trHeight w:val="15"/>
        </w:trPr>
        <w:tc>
          <w:tcPr>
            <w:tcW w:w="678" w:type="dxa"/>
            <w:tcMar>
              <w:top w:w="227" w:type="dxa"/>
              <w:bottom w:w="227" w:type="dxa"/>
            </w:tcMar>
          </w:tcPr>
          <w:p w:rsidR="00653FBA" w:rsidRPr="00C74907" w:rsidRDefault="009647C8" w:rsidP="00003855">
            <w:pPr>
              <w:tabs>
                <w:tab w:val="left" w:pos="8262"/>
              </w:tabs>
              <w:spacing w:after="60"/>
              <w:ind w:right="74"/>
              <w:contextualSpacing/>
              <w:jc w:val="both"/>
              <w:rPr>
                <w:rFonts w:asciiTheme="majorHAnsi" w:hAnsiTheme="majorHAnsi" w:cs="Calibri"/>
                <w:b/>
                <w:lang w:val="en-US"/>
              </w:rPr>
            </w:pPr>
            <w:r w:rsidRPr="00C74907">
              <w:rPr>
                <w:rFonts w:asciiTheme="majorHAnsi" w:hAnsiTheme="majorHAnsi" w:cs="Calibri"/>
                <w:b/>
                <w:noProof/>
                <w:lang w:val="en-US" w:eastAsia="en-US"/>
              </w:rPr>
              <w:drawing>
                <wp:inline distT="0" distB="0" distL="0" distR="0">
                  <wp:extent cx="292584" cy="292584"/>
                  <wp:effectExtent l="0" t="0" r="0" b="0"/>
                  <wp:docPr id="107" name="Εικόνα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lletTick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84" cy="292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  <w:tcMar>
              <w:top w:w="227" w:type="dxa"/>
              <w:bottom w:w="227" w:type="dxa"/>
            </w:tcMar>
          </w:tcPr>
          <w:p w:rsidR="00242D85" w:rsidRPr="00C74907" w:rsidRDefault="00242D85" w:rsidP="00242D85">
            <w:pPr>
              <w:pStyle w:val="05PLAINTEXT"/>
              <w:spacing w:before="0" w:after="120"/>
              <w:ind w:left="0"/>
              <w:contextualSpacing w:val="0"/>
              <w:rPr>
                <w:lang w:val="el-GR"/>
              </w:rPr>
            </w:pPr>
            <w:r w:rsidRPr="00C74907">
              <w:rPr>
                <w:color w:val="auto"/>
                <w:lang w:val="el-GR"/>
              </w:rPr>
              <w:t xml:space="preserve">Τα </w:t>
            </w:r>
            <w:r w:rsidRPr="00C74907">
              <w:rPr>
                <w:b/>
                <w:color w:val="auto"/>
                <w:lang w:val="el-GR"/>
              </w:rPr>
              <w:t>καθαρά αποτελέσματα</w:t>
            </w:r>
            <w:r w:rsidRPr="00C74907">
              <w:rPr>
                <w:color w:val="auto"/>
                <w:lang w:val="el-GR"/>
              </w:rPr>
              <w:t xml:space="preserve"> </w:t>
            </w:r>
            <w:r w:rsidRPr="00C74907">
              <w:rPr>
                <w:b/>
                <w:color w:val="auto"/>
                <w:lang w:val="el-GR"/>
              </w:rPr>
              <w:t>από συνεχιζόμενες δραστηριότητες</w:t>
            </w:r>
            <w:r w:rsidRPr="00C74907">
              <w:rPr>
                <w:color w:val="auto"/>
                <w:lang w:val="el-GR"/>
              </w:rPr>
              <w:t xml:space="preserve"> που αναλογούν στους μετόχους διαμορφώθηκαν σε οριακή </w:t>
            </w:r>
            <w:r w:rsidR="00087529">
              <w:rPr>
                <w:color w:val="auto"/>
                <w:lang w:val="el-GR"/>
              </w:rPr>
              <w:t>ζημία</w:t>
            </w:r>
            <w:r w:rsidRPr="00C74907">
              <w:rPr>
                <w:color w:val="auto"/>
                <w:lang w:val="el-GR"/>
              </w:rPr>
              <w:t xml:space="preserve"> €3</w:t>
            </w:r>
            <w:r w:rsidR="000D4720">
              <w:rPr>
                <w:color w:val="auto"/>
                <w:lang w:val="el-GR"/>
              </w:rPr>
              <w:t>7</w:t>
            </w:r>
            <w:r w:rsidRPr="00C74907">
              <w:rPr>
                <w:color w:val="auto"/>
                <w:lang w:val="el-GR"/>
              </w:rPr>
              <w:t xml:space="preserve"> εκατ. στο 1ο 3μηνο 2016</w:t>
            </w:r>
            <w:r w:rsidR="00087529">
              <w:rPr>
                <w:color w:val="auto"/>
                <w:lang w:val="el-GR"/>
              </w:rPr>
              <w:t xml:space="preserve"> (-</w:t>
            </w:r>
            <w:proofErr w:type="spellStart"/>
            <w:r w:rsidR="00087529">
              <w:rPr>
                <w:color w:val="auto"/>
                <w:lang w:val="el-GR"/>
              </w:rPr>
              <w:t>€25</w:t>
            </w:r>
            <w:proofErr w:type="spellEnd"/>
            <w:r w:rsidR="00087529">
              <w:rPr>
                <w:color w:val="auto"/>
                <w:lang w:val="el-GR"/>
              </w:rPr>
              <w:t xml:space="preserve"> </w:t>
            </w:r>
            <w:proofErr w:type="spellStart"/>
            <w:r w:rsidR="00087529">
              <w:rPr>
                <w:color w:val="auto"/>
                <w:lang w:val="el-GR"/>
              </w:rPr>
              <w:t>εκατ</w:t>
            </w:r>
            <w:proofErr w:type="spellEnd"/>
            <w:r w:rsidR="00087529">
              <w:rPr>
                <w:color w:val="auto"/>
                <w:lang w:val="el-GR"/>
              </w:rPr>
              <w:t xml:space="preserve"> σε ατομικό επίπεδο για την Τράπεζα Πειραιώς)</w:t>
            </w:r>
            <w:r w:rsidRPr="00C74907">
              <w:rPr>
                <w:color w:val="auto"/>
                <w:lang w:val="el-GR"/>
              </w:rPr>
              <w:t>.</w:t>
            </w:r>
            <w:r w:rsidRPr="00C74907">
              <w:rPr>
                <w:b/>
                <w:lang w:val="el-GR"/>
              </w:rPr>
              <w:br w:type="page"/>
            </w:r>
          </w:p>
          <w:p w:rsidR="00653FBA" w:rsidRPr="00C74907" w:rsidRDefault="00653FBA" w:rsidP="009647C8">
            <w:pPr>
              <w:jc w:val="both"/>
              <w:rPr>
                <w:rFonts w:asciiTheme="majorHAnsi" w:hAnsiTheme="majorHAnsi" w:cs="Calibri"/>
                <w:b/>
                <w:sz w:val="19"/>
                <w:szCs w:val="19"/>
              </w:rPr>
            </w:pPr>
          </w:p>
        </w:tc>
      </w:tr>
    </w:tbl>
    <w:p w:rsidR="005C3B1E" w:rsidRPr="00C74907" w:rsidRDefault="005C3B1E">
      <w:pPr>
        <w:rPr>
          <w:rFonts w:asciiTheme="majorHAnsi" w:hAnsiTheme="majorHAnsi" w:cs="Calibri"/>
        </w:rPr>
      </w:pPr>
    </w:p>
    <w:p w:rsidR="000532FB" w:rsidRPr="00C74907" w:rsidRDefault="000532FB" w:rsidP="00003855">
      <w:pPr>
        <w:ind w:right="-23"/>
        <w:rPr>
          <w:rFonts w:asciiTheme="majorHAnsi" w:hAnsiTheme="majorHAnsi" w:cs="Calibri"/>
        </w:rPr>
      </w:pPr>
    </w:p>
    <w:p w:rsidR="00D72CD0" w:rsidRPr="00C74907" w:rsidRDefault="00D72CD0" w:rsidP="00003855">
      <w:pPr>
        <w:ind w:right="-23"/>
        <w:rPr>
          <w:rFonts w:asciiTheme="majorHAnsi" w:hAnsiTheme="majorHAnsi" w:cs="Calibri"/>
        </w:rPr>
      </w:pPr>
    </w:p>
    <w:p w:rsidR="000532FB" w:rsidRPr="006113D1" w:rsidRDefault="003A48E0" w:rsidP="000532FB">
      <w:pPr>
        <w:pStyle w:val="04SUBSUB"/>
        <w:spacing w:before="120" w:after="120" w:line="240" w:lineRule="auto"/>
        <w:ind w:left="0"/>
        <w:rPr>
          <w:rFonts w:cs="Calibri"/>
          <w:b w:val="0"/>
          <w:color w:val="auto"/>
          <w:sz w:val="24"/>
          <w:szCs w:val="24"/>
          <w:lang w:val="en-US"/>
        </w:rPr>
      </w:pPr>
      <w:proofErr w:type="spellStart"/>
      <w:r w:rsidRPr="006113D1">
        <w:rPr>
          <w:rFonts w:cs="Calibri"/>
          <w:b w:val="0"/>
          <w:color w:val="auto"/>
          <w:sz w:val="24"/>
          <w:szCs w:val="24"/>
          <w:lang w:val="en-US"/>
        </w:rPr>
        <w:t>Μεγέθη</w:t>
      </w:r>
      <w:proofErr w:type="spellEnd"/>
      <w:r w:rsidRPr="006113D1">
        <w:rPr>
          <w:rFonts w:cs="Calibri"/>
          <w:b w:val="0"/>
          <w:color w:val="auto"/>
          <w:sz w:val="24"/>
          <w:szCs w:val="24"/>
          <w:lang w:val="en-US"/>
        </w:rPr>
        <w:t xml:space="preserve"> 31 </w:t>
      </w:r>
      <w:r w:rsidR="00A372B4">
        <w:rPr>
          <w:rFonts w:cs="Calibri"/>
          <w:b w:val="0"/>
          <w:color w:val="auto"/>
          <w:sz w:val="24"/>
          <w:szCs w:val="24"/>
          <w:lang w:val="el-GR"/>
        </w:rPr>
        <w:t>Μαρτίου</w:t>
      </w:r>
      <w:r w:rsidRPr="006113D1">
        <w:rPr>
          <w:rFonts w:cs="Calibri"/>
          <w:b w:val="0"/>
          <w:color w:val="auto"/>
          <w:sz w:val="24"/>
          <w:szCs w:val="24"/>
          <w:lang w:val="en-US"/>
        </w:rPr>
        <w:t xml:space="preserve"> </w:t>
      </w:r>
      <w:r w:rsidR="00D72CD0" w:rsidRPr="006113D1">
        <w:rPr>
          <w:rFonts w:cs="Calibri"/>
          <w:b w:val="0"/>
          <w:color w:val="auto"/>
          <w:sz w:val="24"/>
          <w:szCs w:val="24"/>
          <w:lang w:val="en-US"/>
        </w:rPr>
        <w:t>201</w:t>
      </w:r>
      <w:r w:rsidRPr="006113D1">
        <w:rPr>
          <w:rFonts w:cs="Calibri"/>
          <w:b w:val="0"/>
          <w:color w:val="auto"/>
          <w:sz w:val="24"/>
          <w:szCs w:val="24"/>
          <w:lang w:val="en-US"/>
        </w:rPr>
        <w:t>6</w:t>
      </w:r>
    </w:p>
    <w:p w:rsidR="000532FB" w:rsidRPr="00C74907" w:rsidRDefault="00C058B0" w:rsidP="000532FB">
      <w:pPr>
        <w:tabs>
          <w:tab w:val="left" w:pos="8262"/>
        </w:tabs>
        <w:spacing w:after="60"/>
        <w:ind w:right="74"/>
        <w:contextualSpacing/>
        <w:jc w:val="both"/>
        <w:rPr>
          <w:rFonts w:asciiTheme="majorHAnsi" w:hAnsiTheme="majorHAnsi" w:cs="Calibri"/>
          <w:b/>
          <w:lang w:val="en-US"/>
        </w:rPr>
      </w:pPr>
      <w:r w:rsidRPr="00C058B0">
        <w:rPr>
          <w:rFonts w:asciiTheme="majorHAnsi" w:eastAsia="Times New Roman" w:hAnsiTheme="majorHAnsi" w:cs="Calibri"/>
          <w:noProof/>
          <w:sz w:val="24"/>
          <w:szCs w:val="24"/>
          <w:lang w:val="en-GB" w:eastAsia="en-GB"/>
        </w:rPr>
        <w:pict>
          <v:shape id="Freeform 3" o:spid="_x0000_s1032" style="position:absolute;left:0;text-align:left;margin-left:-59.95pt;margin-top:104.3pt;width:651pt;height:533.15pt;rotation:9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coordsize="7893685,677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" path="m162098,l7731587,v89524,,162098,72574,162098,162098l7893685,6771005,,6771005,,162098c,72574,72574,,162098,xe" fillcolor="#dcdcd7" stroked="f">
            <v:fill opacity="49087f"/>
            <v:path o:connecttype="custom" o:connectlocs="169781,0;8098046,0;8267827,162098;8267827,6771006;8267827,6771006;0,6771006;0,6771006;0,162098;169781,0" o:connectangles="0,0,0,0,0,0,0,0,0"/>
            <w10:wrap anchorx="page" anchory="margin"/>
          </v:shape>
        </w:pict>
      </w:r>
    </w:p>
    <w:tbl>
      <w:tblPr>
        <w:tblStyle w:val="a7"/>
        <w:tblW w:w="8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7479"/>
      </w:tblGrid>
      <w:tr w:rsidR="000532FB" w:rsidRPr="00C74907" w:rsidTr="00D72CD0">
        <w:tc>
          <w:tcPr>
            <w:tcW w:w="675" w:type="dxa"/>
            <w:tcMar>
              <w:top w:w="57" w:type="dxa"/>
              <w:bottom w:w="57" w:type="dxa"/>
            </w:tcMar>
          </w:tcPr>
          <w:p w:rsidR="000532FB" w:rsidRPr="00C74907" w:rsidRDefault="000532FB" w:rsidP="003A48E0">
            <w:pPr>
              <w:tabs>
                <w:tab w:val="left" w:pos="8262"/>
              </w:tabs>
              <w:spacing w:after="60"/>
              <w:ind w:right="74"/>
              <w:contextualSpacing/>
              <w:jc w:val="both"/>
              <w:rPr>
                <w:rFonts w:asciiTheme="majorHAnsi" w:hAnsiTheme="majorHAnsi" w:cs="Calibri"/>
                <w:b/>
                <w:lang w:val="en-US"/>
              </w:rPr>
            </w:pPr>
            <w:r w:rsidRPr="00C74907">
              <w:rPr>
                <w:rFonts w:asciiTheme="majorHAnsi" w:hAnsiTheme="majorHAnsi" w:cs="Calibri"/>
                <w:b/>
                <w:noProof/>
                <w:lang w:val="en-US" w:eastAsia="en-US"/>
              </w:rPr>
              <w:drawing>
                <wp:inline distT="0" distB="0" distL="0" distR="0">
                  <wp:extent cx="292584" cy="292584"/>
                  <wp:effectExtent l="0" t="0" r="0" b="0"/>
                  <wp:docPr id="112" name="Εικόνα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lletTick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84" cy="292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Mar>
              <w:top w:w="57" w:type="dxa"/>
              <w:bottom w:w="57" w:type="dxa"/>
            </w:tcMar>
          </w:tcPr>
          <w:p w:rsidR="000532FB" w:rsidRDefault="003A48E0" w:rsidP="008C4D7D">
            <w:pPr>
              <w:tabs>
                <w:tab w:val="left" w:pos="8262"/>
              </w:tabs>
              <w:spacing w:after="80" w:line="264" w:lineRule="auto"/>
              <w:ind w:right="74"/>
              <w:jc w:val="both"/>
              <w:rPr>
                <w:rFonts w:asciiTheme="majorHAnsi" w:hAnsiTheme="majorHAnsi" w:cstheme="majorHAnsi"/>
                <w:sz w:val="19"/>
                <w:szCs w:val="19"/>
              </w:rPr>
            </w:pPr>
            <w:r w:rsidRPr="00C74907">
              <w:rPr>
                <w:rFonts w:asciiTheme="majorHAnsi" w:hAnsiTheme="majorHAnsi" w:cstheme="majorHAnsi"/>
                <w:sz w:val="19"/>
                <w:szCs w:val="19"/>
              </w:rPr>
              <w:t xml:space="preserve">Οι </w:t>
            </w:r>
            <w:r w:rsidRPr="00C74907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καταθέσεις πελατών του Ομίλου </w:t>
            </w:r>
            <w:r w:rsidRPr="00C74907">
              <w:rPr>
                <w:rFonts w:asciiTheme="majorHAnsi" w:hAnsiTheme="majorHAnsi" w:cstheme="majorHAnsi"/>
                <w:sz w:val="19"/>
                <w:szCs w:val="19"/>
              </w:rPr>
              <w:t>διαμορφώθηκαν σε €37,9 δισ. στο τέλος Μαρτίου 2016, μειωμένες κατά 3% έναντι του Δεκεμβρίου 2015</w:t>
            </w:r>
            <w:r w:rsidR="00AA33D5">
              <w:rPr>
                <w:rFonts w:asciiTheme="majorHAnsi" w:hAnsiTheme="majorHAnsi" w:cstheme="majorHAnsi"/>
                <w:sz w:val="19"/>
                <w:szCs w:val="19"/>
              </w:rPr>
              <w:t>, με €0,4 δισ. εκ της τριμηνιαίας υποχώρησης να προέρχονται από καταθέσεις γενικής κυβέρνησης</w:t>
            </w:r>
            <w:r w:rsidR="00343716">
              <w:rPr>
                <w:rFonts w:asciiTheme="majorHAnsi" w:hAnsiTheme="majorHAnsi" w:cstheme="majorHAnsi"/>
                <w:sz w:val="19"/>
                <w:szCs w:val="19"/>
              </w:rPr>
              <w:t xml:space="preserve"> και €0,</w:t>
            </w:r>
            <w:r w:rsidR="006654F1">
              <w:rPr>
                <w:rFonts w:asciiTheme="majorHAnsi" w:hAnsiTheme="majorHAnsi" w:cstheme="majorHAnsi"/>
                <w:sz w:val="19"/>
                <w:szCs w:val="19"/>
              </w:rPr>
              <w:t>3</w:t>
            </w:r>
            <w:r w:rsidR="00343716">
              <w:rPr>
                <w:rFonts w:asciiTheme="majorHAnsi" w:hAnsiTheme="majorHAnsi" w:cstheme="majorHAnsi"/>
                <w:sz w:val="19"/>
                <w:szCs w:val="19"/>
              </w:rPr>
              <w:t xml:space="preserve"> δισ. από καταθέσεις επιχειρήσεων</w:t>
            </w:r>
            <w:r w:rsidR="009909CF">
              <w:rPr>
                <w:rFonts w:asciiTheme="majorHAnsi" w:hAnsiTheme="majorHAnsi" w:cstheme="majorHAnsi"/>
                <w:sz w:val="19"/>
                <w:szCs w:val="19"/>
              </w:rPr>
              <w:t xml:space="preserve"> και €0,3 δι</w:t>
            </w:r>
            <w:r w:rsidR="005A04F3">
              <w:rPr>
                <w:rFonts w:asciiTheme="majorHAnsi" w:hAnsiTheme="majorHAnsi" w:cstheme="majorHAnsi"/>
                <w:sz w:val="19"/>
                <w:szCs w:val="19"/>
              </w:rPr>
              <w:t>σ</w:t>
            </w:r>
            <w:r w:rsidR="009909CF">
              <w:rPr>
                <w:rFonts w:asciiTheme="majorHAnsi" w:hAnsiTheme="majorHAnsi" w:cstheme="majorHAnsi"/>
                <w:sz w:val="19"/>
                <w:szCs w:val="19"/>
              </w:rPr>
              <w:t>. από ιδιώτες</w:t>
            </w:r>
            <w:r w:rsidR="00AA33D5">
              <w:rPr>
                <w:rFonts w:asciiTheme="majorHAnsi" w:hAnsiTheme="majorHAnsi" w:cstheme="majorHAnsi"/>
                <w:sz w:val="19"/>
                <w:szCs w:val="19"/>
              </w:rPr>
              <w:t xml:space="preserve">. </w:t>
            </w:r>
            <w:r w:rsidR="00AD0A60">
              <w:rPr>
                <w:rFonts w:asciiTheme="majorHAnsi" w:hAnsiTheme="majorHAnsi" w:cstheme="majorHAnsi"/>
                <w:sz w:val="19"/>
                <w:szCs w:val="19"/>
              </w:rPr>
              <w:t>Σημειώνεται ότι κατά τον Απρίλιο σημειώθηκε μικρή αναστροφή της πτωτικής τάσης. Η συμπίεση</w:t>
            </w:r>
            <w:r w:rsidRPr="00C74907">
              <w:rPr>
                <w:rFonts w:asciiTheme="majorHAnsi" w:hAnsiTheme="majorHAnsi" w:cstheme="majorHAnsi"/>
                <w:sz w:val="19"/>
                <w:szCs w:val="19"/>
              </w:rPr>
              <w:t xml:space="preserve"> του </w:t>
            </w:r>
            <w:r w:rsidRPr="00343716">
              <w:rPr>
                <w:rFonts w:asciiTheme="majorHAnsi" w:hAnsiTheme="majorHAnsi" w:cstheme="majorHAnsi"/>
                <w:b/>
                <w:sz w:val="19"/>
                <w:szCs w:val="19"/>
              </w:rPr>
              <w:t>κόστους των προθεσμιακών καταθέσεων</w:t>
            </w:r>
            <w:r w:rsidRPr="00C74907">
              <w:rPr>
                <w:rFonts w:asciiTheme="majorHAnsi" w:hAnsiTheme="majorHAnsi" w:cstheme="majorHAnsi"/>
                <w:sz w:val="19"/>
                <w:szCs w:val="19"/>
              </w:rPr>
              <w:t xml:space="preserve"> συνεχίσ</w:t>
            </w:r>
            <w:r w:rsidR="00AD0A60">
              <w:rPr>
                <w:rFonts w:asciiTheme="majorHAnsi" w:hAnsiTheme="majorHAnsi" w:cstheme="majorHAnsi"/>
                <w:sz w:val="19"/>
                <w:szCs w:val="19"/>
              </w:rPr>
              <w:t>θ</w:t>
            </w:r>
            <w:r w:rsidRPr="00C74907">
              <w:rPr>
                <w:rFonts w:asciiTheme="majorHAnsi" w:hAnsiTheme="majorHAnsi" w:cstheme="majorHAnsi"/>
                <w:sz w:val="19"/>
                <w:szCs w:val="19"/>
              </w:rPr>
              <w:t xml:space="preserve">ηκε, με το κόστος των νέων προθεσμιακών να </w:t>
            </w:r>
            <w:r w:rsidRPr="008C4D7D">
              <w:rPr>
                <w:rFonts w:asciiTheme="majorHAnsi" w:hAnsiTheme="majorHAnsi" w:cstheme="majorHAnsi"/>
                <w:sz w:val="19"/>
                <w:szCs w:val="19"/>
              </w:rPr>
              <w:t>διαμορφώνεται σ</w:t>
            </w:r>
            <w:r w:rsidR="00343716">
              <w:rPr>
                <w:rFonts w:asciiTheme="majorHAnsi" w:hAnsiTheme="majorHAnsi" w:cstheme="majorHAnsi"/>
                <w:sz w:val="19"/>
                <w:szCs w:val="19"/>
              </w:rPr>
              <w:t>το</w:t>
            </w:r>
            <w:r w:rsidRPr="008C4D7D">
              <w:rPr>
                <w:rFonts w:asciiTheme="majorHAnsi" w:hAnsiTheme="majorHAnsi" w:cstheme="majorHAnsi"/>
                <w:sz w:val="19"/>
                <w:szCs w:val="19"/>
              </w:rPr>
              <w:t xml:space="preserve"> 0,84% το Μάρτιο 2016 από 0,95% το Δεκέμβριο 2015 και 1,</w:t>
            </w:r>
            <w:r w:rsidR="008C4D7D">
              <w:rPr>
                <w:rFonts w:asciiTheme="majorHAnsi" w:hAnsiTheme="majorHAnsi" w:cstheme="majorHAnsi"/>
                <w:sz w:val="19"/>
                <w:szCs w:val="19"/>
              </w:rPr>
              <w:t>75</w:t>
            </w:r>
            <w:r w:rsidRPr="008C4D7D">
              <w:rPr>
                <w:rFonts w:asciiTheme="majorHAnsi" w:hAnsiTheme="majorHAnsi" w:cstheme="majorHAnsi"/>
                <w:sz w:val="19"/>
                <w:szCs w:val="19"/>
              </w:rPr>
              <w:t xml:space="preserve">% το </w:t>
            </w:r>
            <w:r w:rsidR="008C4D7D">
              <w:rPr>
                <w:rFonts w:asciiTheme="majorHAnsi" w:hAnsiTheme="majorHAnsi" w:cstheme="majorHAnsi"/>
                <w:sz w:val="19"/>
                <w:szCs w:val="19"/>
              </w:rPr>
              <w:t>Μάρτιο</w:t>
            </w:r>
            <w:r w:rsidRPr="008C4D7D">
              <w:rPr>
                <w:rFonts w:asciiTheme="majorHAnsi" w:hAnsiTheme="majorHAnsi" w:cstheme="majorHAnsi"/>
                <w:sz w:val="19"/>
                <w:szCs w:val="19"/>
              </w:rPr>
              <w:t xml:space="preserve">  2015.</w:t>
            </w:r>
          </w:p>
          <w:p w:rsidR="00EF4021" w:rsidRPr="00C74907" w:rsidRDefault="00EF4021" w:rsidP="008C4D7D">
            <w:pPr>
              <w:tabs>
                <w:tab w:val="left" w:pos="8262"/>
              </w:tabs>
              <w:spacing w:after="80" w:line="264" w:lineRule="auto"/>
              <w:ind w:right="74"/>
              <w:jc w:val="both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0532FB" w:rsidRPr="00C74907" w:rsidTr="00D72CD0">
        <w:tc>
          <w:tcPr>
            <w:tcW w:w="675" w:type="dxa"/>
            <w:tcMar>
              <w:top w:w="57" w:type="dxa"/>
              <w:bottom w:w="57" w:type="dxa"/>
            </w:tcMar>
          </w:tcPr>
          <w:p w:rsidR="000532FB" w:rsidRPr="00C74907" w:rsidRDefault="00AA33D5" w:rsidP="003A48E0">
            <w:pPr>
              <w:tabs>
                <w:tab w:val="left" w:pos="8262"/>
              </w:tabs>
              <w:spacing w:after="60"/>
              <w:ind w:right="74"/>
              <w:contextualSpacing/>
              <w:jc w:val="both"/>
              <w:rPr>
                <w:rFonts w:asciiTheme="majorHAnsi" w:hAnsiTheme="majorHAnsi" w:cs="Calibri"/>
                <w:b/>
                <w:lang w:val="en-US"/>
              </w:rPr>
            </w:pPr>
            <w:r w:rsidRPr="00C74907">
              <w:rPr>
                <w:rFonts w:asciiTheme="majorHAnsi" w:hAnsiTheme="majorHAnsi" w:cs="Calibri"/>
                <w:b/>
                <w:noProof/>
                <w:lang w:val="en-US" w:eastAsia="en-US"/>
              </w:rPr>
              <w:drawing>
                <wp:inline distT="0" distB="0" distL="0" distR="0">
                  <wp:extent cx="292584" cy="292584"/>
                  <wp:effectExtent l="0" t="0" r="0" b="0"/>
                  <wp:docPr id="21" name="Εικόνα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lletTick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84" cy="292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Mar>
              <w:top w:w="57" w:type="dxa"/>
              <w:bottom w:w="57" w:type="dxa"/>
            </w:tcMar>
          </w:tcPr>
          <w:p w:rsidR="000532FB" w:rsidRDefault="008C4D7D" w:rsidP="008C4D7D">
            <w:pPr>
              <w:tabs>
                <w:tab w:val="left" w:pos="8262"/>
              </w:tabs>
              <w:spacing w:after="80" w:line="264" w:lineRule="auto"/>
              <w:ind w:right="74"/>
              <w:jc w:val="both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Μειωμένη</w:t>
            </w:r>
            <w:r w:rsidR="003A48E0" w:rsidRPr="00C74907">
              <w:rPr>
                <w:rFonts w:asciiTheme="majorHAnsi" w:hAnsiTheme="majorHAnsi" w:cstheme="majorHAnsi"/>
                <w:sz w:val="19"/>
                <w:szCs w:val="19"/>
              </w:rPr>
              <w:t xml:space="preserve"> η </w:t>
            </w:r>
            <w:r w:rsidR="003A48E0" w:rsidRPr="00C74907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χρηματοδότηση από το </w:t>
            </w:r>
            <w:proofErr w:type="spellStart"/>
            <w:r w:rsidR="003A48E0" w:rsidRPr="00C74907">
              <w:rPr>
                <w:rFonts w:asciiTheme="majorHAnsi" w:hAnsiTheme="majorHAnsi" w:cstheme="majorHAnsi"/>
                <w:b/>
                <w:sz w:val="19"/>
                <w:szCs w:val="19"/>
              </w:rPr>
              <w:t>Ευρωσύστημα</w:t>
            </w:r>
            <w:proofErr w:type="spellEnd"/>
            <w:r w:rsidRPr="008C4D7D">
              <w:rPr>
                <w:rFonts w:asciiTheme="majorHAnsi" w:hAnsiTheme="majorHAnsi" w:cstheme="majorHAnsi"/>
                <w:sz w:val="19"/>
                <w:szCs w:val="19"/>
              </w:rPr>
              <w:t>,</w:t>
            </w:r>
            <w:r w:rsidR="003A48E0" w:rsidRPr="00C74907">
              <w:rPr>
                <w:rFonts w:asciiTheme="majorHAnsi" w:hAnsiTheme="majorHAnsi" w:cstheme="majorHAnsi"/>
                <w:sz w:val="19"/>
                <w:szCs w:val="19"/>
              </w:rPr>
              <w:t xml:space="preserve"> σ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τα</w:t>
            </w:r>
            <w:r w:rsidR="003A48E0" w:rsidRPr="00C74907">
              <w:rPr>
                <w:rFonts w:asciiTheme="majorHAnsi" w:hAnsiTheme="majorHAnsi" w:cstheme="majorHAnsi"/>
                <w:sz w:val="19"/>
                <w:szCs w:val="19"/>
              </w:rPr>
              <w:t xml:space="preserve"> €30,4 δισ. στο τέλος Μαρτίου 2016 από €32,7 δισ. το Δεκέμβριο 2015. Ειδικότερα, η χρηματοδότηση από το μηχανισμό ELA μειώθηκε σε €</w:t>
            </w:r>
            <w:r w:rsidR="003A48E0" w:rsidRPr="00864618">
              <w:rPr>
                <w:rFonts w:asciiTheme="majorHAnsi" w:hAnsiTheme="majorHAnsi" w:cstheme="majorHAnsi"/>
                <w:sz w:val="19"/>
                <w:szCs w:val="19"/>
              </w:rPr>
              <w:t>16,1 δισ</w:t>
            </w:r>
            <w:r w:rsidR="003A48E0" w:rsidRPr="00C74907">
              <w:rPr>
                <w:rFonts w:asciiTheme="majorHAnsi" w:hAnsiTheme="majorHAnsi" w:cstheme="majorHAnsi"/>
                <w:sz w:val="19"/>
                <w:szCs w:val="19"/>
              </w:rPr>
              <w:t>. το Μάρτιο 2016 από €16,7 δισ. το Δεκέμβριο 2015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και €22,2 δισ. στα μέσα του 2015</w:t>
            </w:r>
            <w:r w:rsidR="003A48E0" w:rsidRPr="00C74907">
              <w:rPr>
                <w:rFonts w:asciiTheme="majorHAnsi" w:hAnsiTheme="majorHAnsi" w:cstheme="majorHAnsi"/>
                <w:sz w:val="19"/>
                <w:szCs w:val="19"/>
              </w:rPr>
              <w:t>.</w:t>
            </w:r>
          </w:p>
          <w:p w:rsidR="00EF4021" w:rsidRPr="00C74907" w:rsidRDefault="00EF4021" w:rsidP="008C4D7D">
            <w:pPr>
              <w:tabs>
                <w:tab w:val="left" w:pos="8262"/>
              </w:tabs>
              <w:spacing w:after="80" w:line="264" w:lineRule="auto"/>
              <w:ind w:right="74"/>
              <w:jc w:val="both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0532FB" w:rsidRPr="00C74907" w:rsidTr="00D72CD0">
        <w:tc>
          <w:tcPr>
            <w:tcW w:w="675" w:type="dxa"/>
            <w:tcMar>
              <w:top w:w="57" w:type="dxa"/>
              <w:bottom w:w="57" w:type="dxa"/>
            </w:tcMar>
          </w:tcPr>
          <w:p w:rsidR="000532FB" w:rsidRPr="00C74907" w:rsidRDefault="000532FB" w:rsidP="003A48E0">
            <w:pPr>
              <w:tabs>
                <w:tab w:val="left" w:pos="8262"/>
              </w:tabs>
              <w:spacing w:after="60"/>
              <w:ind w:right="74"/>
              <w:contextualSpacing/>
              <w:jc w:val="both"/>
              <w:rPr>
                <w:rFonts w:asciiTheme="majorHAnsi" w:hAnsiTheme="majorHAnsi" w:cs="Calibri"/>
                <w:b/>
                <w:lang w:val="en-US"/>
              </w:rPr>
            </w:pPr>
            <w:r w:rsidRPr="00C74907">
              <w:rPr>
                <w:rFonts w:asciiTheme="majorHAnsi" w:hAnsiTheme="majorHAnsi" w:cs="Calibri"/>
                <w:b/>
                <w:noProof/>
                <w:lang w:val="en-US" w:eastAsia="en-US"/>
              </w:rPr>
              <w:drawing>
                <wp:inline distT="0" distB="0" distL="0" distR="0">
                  <wp:extent cx="292584" cy="292584"/>
                  <wp:effectExtent l="0" t="0" r="0" b="0"/>
                  <wp:docPr id="114" name="Εικόνα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lletTick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84" cy="292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Mar>
              <w:top w:w="57" w:type="dxa"/>
              <w:bottom w:w="57" w:type="dxa"/>
            </w:tcMar>
          </w:tcPr>
          <w:p w:rsidR="000532FB" w:rsidRDefault="003A48E0" w:rsidP="00D72CD0">
            <w:pPr>
              <w:tabs>
                <w:tab w:val="left" w:pos="8262"/>
              </w:tabs>
              <w:spacing w:after="80" w:line="264" w:lineRule="auto"/>
              <w:ind w:right="74"/>
              <w:jc w:val="both"/>
              <w:rPr>
                <w:rFonts w:asciiTheme="majorHAnsi" w:hAnsiTheme="majorHAnsi" w:cstheme="majorHAnsi"/>
                <w:sz w:val="19"/>
                <w:szCs w:val="19"/>
              </w:rPr>
            </w:pPr>
            <w:r w:rsidRPr="00C74907">
              <w:rPr>
                <w:rFonts w:asciiTheme="majorHAnsi" w:hAnsiTheme="majorHAnsi" w:cstheme="majorHAnsi"/>
                <w:sz w:val="19"/>
                <w:szCs w:val="19"/>
              </w:rPr>
              <w:t xml:space="preserve">Τα </w:t>
            </w:r>
            <w:r w:rsidRPr="00C74907">
              <w:rPr>
                <w:rFonts w:asciiTheme="majorHAnsi" w:hAnsiTheme="majorHAnsi" w:cstheme="majorHAnsi"/>
                <w:b/>
                <w:sz w:val="19"/>
                <w:szCs w:val="19"/>
              </w:rPr>
              <w:t>δάνεια προ προβλέψεων και προσαρμογών</w:t>
            </w:r>
            <w:r w:rsidRPr="00C74907">
              <w:rPr>
                <w:rFonts w:asciiTheme="majorHAnsi" w:hAnsiTheme="majorHAnsi" w:cstheme="majorHAnsi"/>
                <w:sz w:val="19"/>
                <w:szCs w:val="19"/>
              </w:rPr>
              <w:t xml:space="preserve"> διαμορφώθηκαν στα €66,3 δισ. το Μάρτιο 2016, ενώ μετά από προβλέψεις διαμορφώθηκαν σε €48,9 δισ.</w:t>
            </w:r>
          </w:p>
          <w:p w:rsidR="00EF4021" w:rsidRPr="00C74907" w:rsidRDefault="00EF4021" w:rsidP="00D72CD0">
            <w:pPr>
              <w:tabs>
                <w:tab w:val="left" w:pos="8262"/>
              </w:tabs>
              <w:spacing w:after="80" w:line="264" w:lineRule="auto"/>
              <w:ind w:right="74"/>
              <w:jc w:val="both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0532FB" w:rsidRPr="00C74907" w:rsidTr="00D72CD0">
        <w:tc>
          <w:tcPr>
            <w:tcW w:w="675" w:type="dxa"/>
            <w:tcMar>
              <w:top w:w="57" w:type="dxa"/>
              <w:bottom w:w="57" w:type="dxa"/>
            </w:tcMar>
          </w:tcPr>
          <w:p w:rsidR="000532FB" w:rsidRPr="00C74907" w:rsidRDefault="000532FB" w:rsidP="003A48E0">
            <w:pPr>
              <w:tabs>
                <w:tab w:val="left" w:pos="8262"/>
              </w:tabs>
              <w:spacing w:after="60"/>
              <w:ind w:right="74"/>
              <w:contextualSpacing/>
              <w:jc w:val="both"/>
              <w:rPr>
                <w:rFonts w:asciiTheme="majorHAnsi" w:hAnsiTheme="majorHAnsi" w:cs="Calibri"/>
                <w:b/>
                <w:lang w:val="en-US"/>
              </w:rPr>
            </w:pPr>
            <w:r w:rsidRPr="00C74907">
              <w:rPr>
                <w:rFonts w:asciiTheme="majorHAnsi" w:hAnsiTheme="majorHAnsi" w:cs="Calibri"/>
                <w:b/>
                <w:noProof/>
                <w:lang w:val="en-US" w:eastAsia="en-US"/>
              </w:rPr>
              <w:drawing>
                <wp:inline distT="0" distB="0" distL="0" distR="0">
                  <wp:extent cx="292584" cy="292584"/>
                  <wp:effectExtent l="0" t="0" r="0" b="0"/>
                  <wp:docPr id="115" name="Εικόνα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lletTick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84" cy="292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Mar>
              <w:top w:w="57" w:type="dxa"/>
              <w:bottom w:w="57" w:type="dxa"/>
            </w:tcMar>
          </w:tcPr>
          <w:p w:rsidR="000532FB" w:rsidRDefault="003A48E0" w:rsidP="008C4D7D">
            <w:pPr>
              <w:tabs>
                <w:tab w:val="left" w:pos="8262"/>
              </w:tabs>
              <w:spacing w:after="80" w:line="264" w:lineRule="auto"/>
              <w:ind w:right="74"/>
              <w:jc w:val="both"/>
              <w:rPr>
                <w:rFonts w:asciiTheme="majorHAnsi" w:hAnsiTheme="majorHAnsi" w:cstheme="majorHAnsi"/>
                <w:sz w:val="19"/>
                <w:szCs w:val="19"/>
              </w:rPr>
            </w:pPr>
            <w:r w:rsidRPr="00C74907">
              <w:rPr>
                <w:rFonts w:asciiTheme="majorHAnsi" w:hAnsiTheme="majorHAnsi" w:cstheme="majorHAnsi"/>
                <w:sz w:val="19"/>
                <w:szCs w:val="19"/>
              </w:rPr>
              <w:t xml:space="preserve">Ο </w:t>
            </w:r>
            <w:r w:rsidRPr="00C74907">
              <w:rPr>
                <w:rFonts w:asciiTheme="majorHAnsi" w:hAnsiTheme="majorHAnsi" w:cstheme="majorHAnsi"/>
                <w:b/>
                <w:sz w:val="19"/>
                <w:szCs w:val="19"/>
              </w:rPr>
              <w:t>δείκτης δανείων προς καταθέσεις</w:t>
            </w:r>
            <w:r w:rsidRPr="00C74907">
              <w:rPr>
                <w:rFonts w:asciiTheme="majorHAnsi" w:hAnsiTheme="majorHAnsi" w:cstheme="majorHAnsi"/>
                <w:sz w:val="19"/>
                <w:szCs w:val="19"/>
              </w:rPr>
              <w:t xml:space="preserve"> μειώθηκε στο 129% το Μάρτιο 201</w:t>
            </w:r>
            <w:r w:rsidR="008C4D7D">
              <w:rPr>
                <w:rFonts w:asciiTheme="majorHAnsi" w:hAnsiTheme="majorHAnsi" w:cstheme="majorHAnsi"/>
                <w:sz w:val="19"/>
                <w:szCs w:val="19"/>
              </w:rPr>
              <w:t>6</w:t>
            </w:r>
            <w:r w:rsidRPr="00C74907">
              <w:rPr>
                <w:rFonts w:asciiTheme="majorHAnsi" w:hAnsiTheme="majorHAnsi" w:cstheme="majorHAnsi"/>
                <w:sz w:val="19"/>
                <w:szCs w:val="19"/>
              </w:rPr>
              <w:t xml:space="preserve"> από 130% το Δεκέμβριο 2015</w:t>
            </w:r>
            <w:r w:rsidR="00740AE5">
              <w:rPr>
                <w:rFonts w:asciiTheme="majorHAnsi" w:hAnsiTheme="majorHAnsi" w:cstheme="majorHAnsi"/>
                <w:sz w:val="19"/>
                <w:szCs w:val="19"/>
              </w:rPr>
              <w:t xml:space="preserve"> και 137% τον Ιούνιο 2015</w:t>
            </w:r>
            <w:r w:rsidR="00226A35">
              <w:rPr>
                <w:rFonts w:asciiTheme="majorHAnsi" w:hAnsiTheme="majorHAnsi" w:cstheme="majorHAnsi"/>
                <w:sz w:val="19"/>
                <w:szCs w:val="19"/>
              </w:rPr>
              <w:t>.</w:t>
            </w:r>
          </w:p>
          <w:p w:rsidR="00EF4021" w:rsidRPr="00C74907" w:rsidRDefault="00EF4021" w:rsidP="008C4D7D">
            <w:pPr>
              <w:tabs>
                <w:tab w:val="left" w:pos="8262"/>
              </w:tabs>
              <w:spacing w:after="80" w:line="264" w:lineRule="auto"/>
              <w:ind w:right="74"/>
              <w:jc w:val="both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0532FB" w:rsidRPr="00C74907" w:rsidTr="00D72CD0">
        <w:tc>
          <w:tcPr>
            <w:tcW w:w="675" w:type="dxa"/>
            <w:tcMar>
              <w:top w:w="57" w:type="dxa"/>
              <w:bottom w:w="57" w:type="dxa"/>
            </w:tcMar>
          </w:tcPr>
          <w:p w:rsidR="000532FB" w:rsidRPr="00C74907" w:rsidRDefault="000532FB" w:rsidP="003A48E0">
            <w:pPr>
              <w:tabs>
                <w:tab w:val="left" w:pos="8262"/>
              </w:tabs>
              <w:spacing w:after="60"/>
              <w:ind w:right="74"/>
              <w:contextualSpacing/>
              <w:jc w:val="both"/>
              <w:rPr>
                <w:rFonts w:asciiTheme="majorHAnsi" w:hAnsiTheme="majorHAnsi" w:cs="Calibri"/>
                <w:b/>
                <w:lang w:val="en-US"/>
              </w:rPr>
            </w:pPr>
            <w:r w:rsidRPr="00C74907">
              <w:rPr>
                <w:rFonts w:asciiTheme="majorHAnsi" w:hAnsiTheme="majorHAnsi" w:cs="Calibri"/>
                <w:b/>
                <w:noProof/>
                <w:lang w:val="en-US" w:eastAsia="en-US"/>
              </w:rPr>
              <w:drawing>
                <wp:inline distT="0" distB="0" distL="0" distR="0">
                  <wp:extent cx="292584" cy="292584"/>
                  <wp:effectExtent l="0" t="0" r="0" b="0"/>
                  <wp:docPr id="116" name="Εικόνα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lletTick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84" cy="292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Mar>
              <w:top w:w="57" w:type="dxa"/>
              <w:bottom w:w="57" w:type="dxa"/>
            </w:tcMar>
          </w:tcPr>
          <w:p w:rsidR="000532FB" w:rsidRDefault="003A48E0" w:rsidP="008C4D7D">
            <w:pPr>
              <w:tabs>
                <w:tab w:val="left" w:pos="8262"/>
              </w:tabs>
              <w:spacing w:after="80" w:line="264" w:lineRule="auto"/>
              <w:ind w:right="74"/>
              <w:jc w:val="both"/>
              <w:rPr>
                <w:rFonts w:asciiTheme="majorHAnsi" w:hAnsiTheme="majorHAnsi" w:cstheme="majorHAnsi"/>
                <w:sz w:val="19"/>
                <w:szCs w:val="19"/>
              </w:rPr>
            </w:pPr>
            <w:r w:rsidRPr="00C74907">
              <w:rPr>
                <w:rFonts w:asciiTheme="majorHAnsi" w:hAnsiTheme="majorHAnsi" w:cstheme="majorHAnsi"/>
                <w:sz w:val="19"/>
                <w:szCs w:val="19"/>
              </w:rPr>
              <w:t xml:space="preserve">Ο </w:t>
            </w:r>
            <w:r w:rsidRPr="00C74907">
              <w:rPr>
                <w:rFonts w:asciiTheme="majorHAnsi" w:hAnsiTheme="majorHAnsi" w:cstheme="majorHAnsi"/>
                <w:b/>
                <w:sz w:val="19"/>
                <w:szCs w:val="19"/>
              </w:rPr>
              <w:t>δείκτης κεφαλαιακής επάρκειας</w:t>
            </w:r>
            <w:r w:rsidRPr="00C74907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spellStart"/>
            <w:r w:rsidRPr="00C74907">
              <w:rPr>
                <w:rFonts w:asciiTheme="majorHAnsi" w:hAnsiTheme="majorHAnsi" w:cstheme="majorHAnsi"/>
                <w:b/>
                <w:sz w:val="19"/>
                <w:szCs w:val="19"/>
              </w:rPr>
              <w:t>Common</w:t>
            </w:r>
            <w:proofErr w:type="spellEnd"/>
            <w:r w:rsidRPr="00C74907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 </w:t>
            </w:r>
            <w:proofErr w:type="spellStart"/>
            <w:r w:rsidRPr="00C74907">
              <w:rPr>
                <w:rFonts w:asciiTheme="majorHAnsi" w:hAnsiTheme="majorHAnsi" w:cstheme="majorHAnsi"/>
                <w:b/>
                <w:sz w:val="19"/>
                <w:szCs w:val="19"/>
              </w:rPr>
              <w:t>Equity</w:t>
            </w:r>
            <w:proofErr w:type="spellEnd"/>
            <w:r w:rsidRPr="00C74907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 </w:t>
            </w:r>
            <w:proofErr w:type="spellStart"/>
            <w:r w:rsidRPr="00C74907">
              <w:rPr>
                <w:rFonts w:asciiTheme="majorHAnsi" w:hAnsiTheme="majorHAnsi" w:cstheme="majorHAnsi"/>
                <w:b/>
                <w:sz w:val="19"/>
                <w:szCs w:val="19"/>
              </w:rPr>
              <w:t>Tier</w:t>
            </w:r>
            <w:proofErr w:type="spellEnd"/>
            <w:r w:rsidRPr="00C74907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 1 </w:t>
            </w:r>
            <w:r w:rsidRPr="00C74907">
              <w:rPr>
                <w:rFonts w:asciiTheme="majorHAnsi" w:hAnsiTheme="majorHAnsi" w:cstheme="majorHAnsi"/>
                <w:sz w:val="19"/>
                <w:szCs w:val="19"/>
              </w:rPr>
              <w:t xml:space="preserve">του Ομίλου, διαμορφώθηκε στο τέλος Μαρτίου 2016 σε </w:t>
            </w:r>
            <w:r w:rsidR="008C4D7D">
              <w:rPr>
                <w:rFonts w:asciiTheme="majorHAnsi" w:hAnsiTheme="majorHAnsi" w:cstheme="majorHAnsi"/>
                <w:sz w:val="19"/>
                <w:szCs w:val="19"/>
              </w:rPr>
              <w:t>17,6</w:t>
            </w:r>
            <w:r w:rsidRPr="00C74907">
              <w:rPr>
                <w:rFonts w:asciiTheme="majorHAnsi" w:hAnsiTheme="majorHAnsi" w:cstheme="majorHAnsi"/>
                <w:sz w:val="19"/>
                <w:szCs w:val="19"/>
              </w:rPr>
              <w:t>%</w:t>
            </w:r>
            <w:r w:rsidR="006654F1">
              <w:rPr>
                <w:rFonts w:asciiTheme="majorHAnsi" w:hAnsiTheme="majorHAnsi" w:cstheme="majorHAnsi"/>
                <w:sz w:val="19"/>
                <w:szCs w:val="19"/>
              </w:rPr>
              <w:t>.</w:t>
            </w:r>
            <w:r w:rsidR="008C4D7D">
              <w:rPr>
                <w:rFonts w:asciiTheme="majorHAnsi" w:hAnsiTheme="majorHAnsi" w:cstheme="majorHAnsi"/>
                <w:sz w:val="19"/>
                <w:szCs w:val="19"/>
              </w:rPr>
              <w:t xml:space="preserve"> Με πλήρη εφαρμογή του πλαισίου της Βασιλείας ΙΙΙ, </w:t>
            </w:r>
            <w:r w:rsidR="008C4D7D">
              <w:rPr>
                <w:rFonts w:asciiTheme="majorHAnsi" w:hAnsiTheme="majorHAnsi" w:cstheme="majorHAnsi"/>
                <w:sz w:val="19"/>
                <w:szCs w:val="19"/>
                <w:lang w:val="en-US"/>
              </w:rPr>
              <w:t>o</w:t>
            </w:r>
            <w:r w:rsidR="008C4D7D">
              <w:rPr>
                <w:rFonts w:asciiTheme="majorHAnsi" w:hAnsiTheme="majorHAnsi" w:cstheme="majorHAnsi"/>
                <w:sz w:val="19"/>
                <w:szCs w:val="19"/>
              </w:rPr>
              <w:t xml:space="preserve"> δείκτης ανήλθε στο 16,7% ελαφρά βελτιωμένος έναντι του Δεκεμβρίου 2015</w:t>
            </w:r>
            <w:r w:rsidR="006654F1">
              <w:rPr>
                <w:rFonts w:asciiTheme="majorHAnsi" w:hAnsiTheme="majorHAnsi" w:cstheme="majorHAnsi"/>
                <w:sz w:val="19"/>
                <w:szCs w:val="19"/>
              </w:rPr>
              <w:t xml:space="preserve"> (και οι 2 δείκτες με προσαρμογή για τις επικείμενες </w:t>
            </w:r>
            <w:proofErr w:type="spellStart"/>
            <w:r w:rsidR="006654F1">
              <w:rPr>
                <w:rFonts w:asciiTheme="majorHAnsi" w:hAnsiTheme="majorHAnsi" w:cstheme="majorHAnsi"/>
                <w:sz w:val="19"/>
                <w:szCs w:val="19"/>
              </w:rPr>
              <w:t>αποεπενδύσεις</w:t>
            </w:r>
            <w:proofErr w:type="spellEnd"/>
            <w:r w:rsidR="006654F1">
              <w:rPr>
                <w:rFonts w:asciiTheme="majorHAnsi" w:hAnsiTheme="majorHAnsi" w:cstheme="majorHAnsi"/>
                <w:sz w:val="19"/>
                <w:szCs w:val="19"/>
              </w:rPr>
              <w:t>)</w:t>
            </w:r>
            <w:r w:rsidR="008C4D7D">
              <w:rPr>
                <w:rFonts w:asciiTheme="majorHAnsi" w:hAnsiTheme="majorHAnsi" w:cstheme="majorHAnsi"/>
                <w:sz w:val="19"/>
                <w:szCs w:val="19"/>
              </w:rPr>
              <w:t>.</w:t>
            </w:r>
          </w:p>
          <w:p w:rsidR="00EF4021" w:rsidRPr="008C4D7D" w:rsidRDefault="00EF4021" w:rsidP="008C4D7D">
            <w:pPr>
              <w:tabs>
                <w:tab w:val="left" w:pos="8262"/>
              </w:tabs>
              <w:spacing w:after="80" w:line="264" w:lineRule="auto"/>
              <w:ind w:right="7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532FB" w:rsidRPr="00C74907" w:rsidTr="00D72CD0">
        <w:tc>
          <w:tcPr>
            <w:tcW w:w="675" w:type="dxa"/>
            <w:tcMar>
              <w:top w:w="57" w:type="dxa"/>
              <w:bottom w:w="57" w:type="dxa"/>
            </w:tcMar>
          </w:tcPr>
          <w:p w:rsidR="000532FB" w:rsidRPr="00C74907" w:rsidRDefault="000532FB" w:rsidP="003A48E0">
            <w:pPr>
              <w:tabs>
                <w:tab w:val="left" w:pos="8262"/>
              </w:tabs>
              <w:spacing w:after="60"/>
              <w:ind w:right="74"/>
              <w:contextualSpacing/>
              <w:jc w:val="both"/>
              <w:rPr>
                <w:rFonts w:asciiTheme="majorHAnsi" w:hAnsiTheme="majorHAnsi" w:cs="Calibri"/>
                <w:b/>
                <w:lang w:val="en-US"/>
              </w:rPr>
            </w:pPr>
            <w:r w:rsidRPr="00C74907">
              <w:rPr>
                <w:rFonts w:asciiTheme="majorHAnsi" w:hAnsiTheme="majorHAnsi" w:cs="Calibri"/>
                <w:b/>
                <w:noProof/>
                <w:lang w:val="en-US" w:eastAsia="en-US"/>
              </w:rPr>
              <w:drawing>
                <wp:inline distT="0" distB="0" distL="0" distR="0">
                  <wp:extent cx="292584" cy="292584"/>
                  <wp:effectExtent l="0" t="0" r="0" b="0"/>
                  <wp:docPr id="118" name="Εικόνα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lletTick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84" cy="292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Mar>
              <w:top w:w="57" w:type="dxa"/>
              <w:bottom w:w="57" w:type="dxa"/>
            </w:tcMar>
          </w:tcPr>
          <w:p w:rsidR="000532FB" w:rsidRDefault="003A48E0" w:rsidP="008C4D7D">
            <w:pPr>
              <w:tabs>
                <w:tab w:val="left" w:pos="8262"/>
              </w:tabs>
              <w:spacing w:after="80" w:line="264" w:lineRule="auto"/>
              <w:ind w:right="74"/>
              <w:jc w:val="both"/>
              <w:rPr>
                <w:rFonts w:asciiTheme="majorHAnsi" w:hAnsiTheme="majorHAnsi" w:cstheme="majorHAnsi"/>
                <w:sz w:val="19"/>
                <w:szCs w:val="19"/>
              </w:rPr>
            </w:pPr>
            <w:r w:rsidRPr="00C74907">
              <w:rPr>
                <w:rFonts w:asciiTheme="majorHAnsi" w:hAnsiTheme="majorHAnsi" w:cstheme="majorHAnsi"/>
                <w:sz w:val="19"/>
                <w:szCs w:val="19"/>
              </w:rPr>
              <w:t xml:space="preserve">Το </w:t>
            </w:r>
            <w:r w:rsidRPr="00C74907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δίκτυο καταστημάτων </w:t>
            </w:r>
            <w:r w:rsidRPr="00C74907">
              <w:rPr>
                <w:rFonts w:asciiTheme="majorHAnsi" w:hAnsiTheme="majorHAnsi" w:cstheme="majorHAnsi"/>
                <w:sz w:val="19"/>
                <w:szCs w:val="19"/>
              </w:rPr>
              <w:t xml:space="preserve">στην Ελλάδα μειώθηκε κατά 8 καταστήματα στη διάρκεια του 1ου 3μήνου 2016 και διαμορφώθηκε σε 701 μονάδες, ενώ σε επίπεδο Ομίλου ανήλθε σε 981 μονάδες στο τέλος Μαρτίου 2016. </w:t>
            </w:r>
            <w:r w:rsidR="00D36C61" w:rsidRPr="00D36C61">
              <w:rPr>
                <w:rFonts w:asciiTheme="majorHAnsi" w:hAnsiTheme="majorHAnsi" w:cstheme="majorHAnsi"/>
                <w:sz w:val="19"/>
                <w:szCs w:val="19"/>
              </w:rPr>
              <w:t>Σ</w:t>
            </w:r>
            <w:r w:rsidR="00D36C61">
              <w:rPr>
                <w:rFonts w:asciiTheme="majorHAnsi" w:hAnsiTheme="majorHAnsi" w:cstheme="majorHAnsi"/>
                <w:sz w:val="19"/>
                <w:szCs w:val="19"/>
              </w:rPr>
              <w:t xml:space="preserve">τόχος του Σχεδίου Αναδιάρθρωσης της Τράπεζας είναι οι 650 μονάδες </w:t>
            </w:r>
            <w:r w:rsidR="006654F1">
              <w:rPr>
                <w:rFonts w:asciiTheme="majorHAnsi" w:hAnsiTheme="majorHAnsi" w:cstheme="majorHAnsi"/>
                <w:sz w:val="19"/>
                <w:szCs w:val="19"/>
              </w:rPr>
              <w:t xml:space="preserve">στην Ελλάδα </w:t>
            </w:r>
            <w:r w:rsidR="00D36C61">
              <w:rPr>
                <w:rFonts w:asciiTheme="majorHAnsi" w:hAnsiTheme="majorHAnsi" w:cstheme="majorHAnsi"/>
                <w:sz w:val="19"/>
                <w:szCs w:val="19"/>
              </w:rPr>
              <w:t xml:space="preserve">στο τέλος του 2017, επίπεδο το οποίο θα επιτευχθεί εντός των αμέσως προσεχών </w:t>
            </w:r>
            <w:r w:rsidR="00740AE5">
              <w:rPr>
                <w:rFonts w:asciiTheme="majorHAnsi" w:hAnsiTheme="majorHAnsi" w:cstheme="majorHAnsi"/>
                <w:sz w:val="19"/>
                <w:szCs w:val="19"/>
              </w:rPr>
              <w:t>τρι</w:t>
            </w:r>
            <w:r w:rsidR="00D36C61">
              <w:rPr>
                <w:rFonts w:asciiTheme="majorHAnsi" w:hAnsiTheme="majorHAnsi" w:cstheme="majorHAnsi"/>
                <w:sz w:val="19"/>
                <w:szCs w:val="19"/>
              </w:rPr>
              <w:t>μ</w:t>
            </w:r>
            <w:r w:rsidR="00740AE5">
              <w:rPr>
                <w:rFonts w:asciiTheme="majorHAnsi" w:hAnsiTheme="majorHAnsi" w:cstheme="majorHAnsi"/>
                <w:sz w:val="19"/>
                <w:szCs w:val="19"/>
              </w:rPr>
              <w:t>ήνω</w:t>
            </w:r>
            <w:r w:rsidR="00D36C61">
              <w:rPr>
                <w:rFonts w:asciiTheme="majorHAnsi" w:hAnsiTheme="majorHAnsi" w:cstheme="majorHAnsi"/>
                <w:sz w:val="19"/>
                <w:szCs w:val="19"/>
              </w:rPr>
              <w:t>ν.</w:t>
            </w:r>
          </w:p>
          <w:p w:rsidR="00EF4021" w:rsidRPr="00D36C61" w:rsidRDefault="00EF4021" w:rsidP="008C4D7D">
            <w:pPr>
              <w:tabs>
                <w:tab w:val="left" w:pos="8262"/>
              </w:tabs>
              <w:spacing w:after="80" w:line="264" w:lineRule="auto"/>
              <w:ind w:right="7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72CD0" w:rsidRPr="00C74907" w:rsidTr="00D72CD0">
        <w:tc>
          <w:tcPr>
            <w:tcW w:w="675" w:type="dxa"/>
            <w:tcMar>
              <w:top w:w="57" w:type="dxa"/>
              <w:bottom w:w="57" w:type="dxa"/>
            </w:tcMar>
          </w:tcPr>
          <w:p w:rsidR="00D72CD0" w:rsidRPr="00C74907" w:rsidRDefault="00D72CD0" w:rsidP="003A48E0">
            <w:pPr>
              <w:tabs>
                <w:tab w:val="left" w:pos="8262"/>
              </w:tabs>
              <w:spacing w:after="60"/>
              <w:ind w:right="74"/>
              <w:contextualSpacing/>
              <w:jc w:val="both"/>
              <w:rPr>
                <w:rFonts w:asciiTheme="majorHAnsi" w:hAnsiTheme="majorHAnsi" w:cs="Calibri"/>
                <w:b/>
                <w:noProof/>
              </w:rPr>
            </w:pPr>
            <w:r w:rsidRPr="00C74907">
              <w:rPr>
                <w:rFonts w:asciiTheme="majorHAnsi" w:hAnsiTheme="majorHAnsi" w:cs="Calibri"/>
                <w:b/>
                <w:noProof/>
                <w:lang w:val="en-US" w:eastAsia="en-US"/>
              </w:rPr>
              <w:drawing>
                <wp:inline distT="0" distB="0" distL="0" distR="0">
                  <wp:extent cx="292584" cy="292584"/>
                  <wp:effectExtent l="0" t="0" r="0" b="0"/>
                  <wp:docPr id="139" name="Εικόνα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lletTick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84" cy="292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Mar>
              <w:top w:w="57" w:type="dxa"/>
              <w:bottom w:w="57" w:type="dxa"/>
            </w:tcMar>
          </w:tcPr>
          <w:p w:rsidR="008E7377" w:rsidRPr="00512144" w:rsidRDefault="008E7377" w:rsidP="008E7377">
            <w:pPr>
              <w:tabs>
                <w:tab w:val="left" w:pos="8262"/>
              </w:tabs>
              <w:spacing w:after="80" w:line="264" w:lineRule="auto"/>
              <w:ind w:right="74"/>
              <w:jc w:val="both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Τ</w:t>
            </w:r>
            <w:r w:rsidRPr="00662E78">
              <w:rPr>
                <w:rFonts w:asciiTheme="majorHAnsi" w:hAnsiTheme="majorHAnsi" w:cstheme="majorHAnsi"/>
                <w:sz w:val="19"/>
                <w:szCs w:val="19"/>
              </w:rPr>
              <w:t xml:space="preserve">ο </w:t>
            </w:r>
            <w:r w:rsidRPr="008E7377">
              <w:rPr>
                <w:rFonts w:asciiTheme="majorHAnsi" w:hAnsiTheme="majorHAnsi" w:cstheme="majorHAnsi"/>
                <w:b/>
                <w:sz w:val="19"/>
                <w:szCs w:val="19"/>
              </w:rPr>
              <w:t>ανθρώπινο δυναμικό</w:t>
            </w:r>
            <w:r w:rsidRPr="008E7377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Pr="00662E78">
              <w:rPr>
                <w:rFonts w:asciiTheme="majorHAnsi" w:hAnsiTheme="majorHAnsi" w:cstheme="majorHAnsi"/>
                <w:sz w:val="19"/>
                <w:szCs w:val="19"/>
              </w:rPr>
              <w:t>του Ομίλου</w:t>
            </w:r>
            <w:r w:rsidRPr="008E7377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για τις συνεχιζόμενες δραστηριότητες </w:t>
            </w:r>
            <w:r w:rsidRPr="00662E78">
              <w:rPr>
                <w:rFonts w:asciiTheme="majorHAnsi" w:hAnsiTheme="majorHAnsi" w:cstheme="majorHAnsi"/>
                <w:sz w:val="19"/>
                <w:szCs w:val="19"/>
              </w:rPr>
              <w:t xml:space="preserve">διαμορφώθηκε στο τέλος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Μαρτίου 2016 σε 19.</w:t>
            </w:r>
            <w:r w:rsidR="004A516D">
              <w:rPr>
                <w:rFonts w:asciiTheme="majorHAnsi" w:hAnsiTheme="majorHAnsi" w:cstheme="majorHAnsi"/>
                <w:sz w:val="19"/>
                <w:szCs w:val="19"/>
              </w:rPr>
              <w:t>259</w:t>
            </w:r>
            <w:r w:rsidR="004A516D" w:rsidRPr="00662E78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Pr="00662E78">
              <w:rPr>
                <w:rFonts w:asciiTheme="majorHAnsi" w:hAnsiTheme="majorHAnsi" w:cstheme="majorHAnsi"/>
                <w:sz w:val="19"/>
                <w:szCs w:val="19"/>
              </w:rPr>
              <w:t>άτομα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, ενώ</w:t>
            </w:r>
            <w:r w:rsidRPr="00662E78">
              <w:rPr>
                <w:rFonts w:asciiTheme="majorHAnsi" w:hAnsiTheme="majorHAnsi" w:cstheme="majorHAnsi"/>
                <w:sz w:val="19"/>
                <w:szCs w:val="19"/>
              </w:rPr>
              <w:t xml:space="preserve"> στην Ελλάδα σε 15.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627 άτομα</w:t>
            </w:r>
            <w:r w:rsidRPr="00662E78">
              <w:rPr>
                <w:rFonts w:asciiTheme="majorHAnsi" w:hAnsiTheme="majorHAnsi" w:cstheme="majorHAnsi"/>
                <w:sz w:val="19"/>
                <w:szCs w:val="19"/>
              </w:rPr>
              <w:t xml:space="preserve">.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Pr="00662E78">
              <w:rPr>
                <w:rFonts w:asciiTheme="majorHAnsi" w:hAnsiTheme="majorHAnsi" w:cstheme="majorHAnsi"/>
                <w:sz w:val="19"/>
                <w:szCs w:val="19"/>
              </w:rPr>
              <w:t>Το προσωπικό των διεθνών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δραστηριοτήτων διαμορφώθηκε σε 3.</w:t>
            </w:r>
            <w:r w:rsidR="004A516D">
              <w:rPr>
                <w:rFonts w:asciiTheme="majorHAnsi" w:hAnsiTheme="majorHAnsi" w:cstheme="majorHAnsi"/>
                <w:sz w:val="19"/>
                <w:szCs w:val="19"/>
              </w:rPr>
              <w:t>632</w:t>
            </w:r>
            <w:r w:rsidR="004A516D" w:rsidRPr="00662E78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Pr="00662E78">
              <w:rPr>
                <w:rFonts w:asciiTheme="majorHAnsi" w:hAnsiTheme="majorHAnsi" w:cstheme="majorHAnsi"/>
                <w:sz w:val="19"/>
                <w:szCs w:val="19"/>
              </w:rPr>
              <w:t>άτομα.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Στα τέλη Απριλίου 2016 </w:t>
            </w:r>
            <w:r w:rsidRPr="00226A35">
              <w:rPr>
                <w:rFonts w:asciiTheme="majorHAnsi" w:hAnsiTheme="majorHAnsi" w:cstheme="majorHAnsi"/>
                <w:sz w:val="19"/>
                <w:szCs w:val="19"/>
              </w:rPr>
              <w:t>εξέπνευσε η περίοδος υποβολής αιτήσεων για το πρόγραμμα αποχώρησης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που εισήγαγε η Τράπεζα τον Μάρτιο. Περίπου 1.000 εργαζόμενοι δήλωσαν συμμετοχή, με εκτίμηση για ετήσιο όφελος στις δαπάνες προσωπικού περίπου €45 εκατ. </w:t>
            </w:r>
          </w:p>
          <w:p w:rsidR="008E7377" w:rsidRPr="00662E78" w:rsidRDefault="008E7377" w:rsidP="008E7377">
            <w:pPr>
              <w:tabs>
                <w:tab w:val="left" w:pos="8262"/>
              </w:tabs>
              <w:spacing w:after="80" w:line="264" w:lineRule="auto"/>
              <w:ind w:left="340" w:right="7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62E78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</w:p>
          <w:p w:rsidR="00EF4021" w:rsidRPr="008E7377" w:rsidRDefault="00EF4021" w:rsidP="00D72CD0">
            <w:pPr>
              <w:tabs>
                <w:tab w:val="left" w:pos="8262"/>
              </w:tabs>
              <w:autoSpaceDE w:val="0"/>
              <w:autoSpaceDN w:val="0"/>
              <w:adjustRightInd w:val="0"/>
              <w:spacing w:before="23" w:after="80" w:line="266" w:lineRule="auto"/>
              <w:ind w:right="-20"/>
              <w:jc w:val="both"/>
              <w:rPr>
                <w:rFonts w:asciiTheme="majorHAnsi" w:hAnsiTheme="majorHAnsi" w:cs="Calibri"/>
                <w:sz w:val="19"/>
                <w:szCs w:val="19"/>
              </w:rPr>
            </w:pPr>
          </w:p>
        </w:tc>
      </w:tr>
    </w:tbl>
    <w:p w:rsidR="00641B75" w:rsidRDefault="00641B75" w:rsidP="00F168DB">
      <w:pPr>
        <w:pStyle w:val="a8"/>
        <w:ind w:left="0"/>
        <w:rPr>
          <w:rFonts w:cs="Calibri"/>
          <w:color w:val="3A73AE"/>
          <w:sz w:val="28"/>
          <w:szCs w:val="28"/>
          <w:lang w:val="el-GR"/>
        </w:rPr>
      </w:pPr>
    </w:p>
    <w:p w:rsidR="00641B75" w:rsidRDefault="00641B75">
      <w:pPr>
        <w:rPr>
          <w:rFonts w:asciiTheme="majorHAnsi" w:hAnsiTheme="majorHAnsi" w:cs="Calibri"/>
          <w:noProof/>
          <w:color w:val="3A73AE"/>
          <w:sz w:val="28"/>
          <w:szCs w:val="28"/>
          <w:lang w:eastAsia="en-GB"/>
        </w:rPr>
      </w:pPr>
    </w:p>
    <w:p w:rsidR="003A48E0" w:rsidRPr="00C74907" w:rsidRDefault="003A48E0" w:rsidP="00F168DB">
      <w:pPr>
        <w:pStyle w:val="a8"/>
        <w:ind w:left="0"/>
        <w:rPr>
          <w:rFonts w:cs="Calibri"/>
          <w:color w:val="3A73AE"/>
          <w:sz w:val="28"/>
          <w:szCs w:val="28"/>
        </w:rPr>
      </w:pPr>
      <w:r w:rsidRPr="00C74907">
        <w:rPr>
          <w:rFonts w:cs="Calibri"/>
          <w:color w:val="3A73AE"/>
          <w:sz w:val="28"/>
          <w:szCs w:val="28"/>
          <w:lang w:val="el-GR"/>
        </w:rPr>
        <w:t>Επιλεγμένα</w:t>
      </w:r>
      <w:r w:rsidRPr="00C74907">
        <w:rPr>
          <w:rFonts w:cs="Calibri"/>
          <w:color w:val="3A73AE"/>
          <w:sz w:val="28"/>
          <w:szCs w:val="28"/>
        </w:rPr>
        <w:t xml:space="preserve"> </w:t>
      </w:r>
      <w:r w:rsidR="00471476" w:rsidRPr="00C74907">
        <w:rPr>
          <w:rFonts w:cs="Calibri"/>
          <w:color w:val="3A73AE"/>
          <w:sz w:val="28"/>
          <w:szCs w:val="28"/>
          <w:lang w:val="el-GR"/>
        </w:rPr>
        <w:t>Στοιχεί</w:t>
      </w:r>
      <w:r w:rsidRPr="00C74907">
        <w:rPr>
          <w:rFonts w:cs="Calibri"/>
          <w:color w:val="3A73AE"/>
          <w:sz w:val="28"/>
          <w:szCs w:val="28"/>
          <w:lang w:val="el-GR"/>
        </w:rPr>
        <w:t>α</w:t>
      </w:r>
      <w:r w:rsidRPr="00C74907">
        <w:rPr>
          <w:rFonts w:cs="Calibri"/>
          <w:color w:val="3A73AE"/>
          <w:sz w:val="28"/>
          <w:szCs w:val="28"/>
        </w:rPr>
        <w:t xml:space="preserve"> </w:t>
      </w:r>
      <w:r w:rsidRPr="00C74907">
        <w:rPr>
          <w:rFonts w:cs="Calibri"/>
          <w:color w:val="3A73AE"/>
          <w:sz w:val="28"/>
          <w:szCs w:val="28"/>
          <w:lang w:val="el-GR"/>
        </w:rPr>
        <w:t>Ομίλου</w:t>
      </w:r>
      <w:r w:rsidRPr="00C74907">
        <w:rPr>
          <w:rFonts w:cs="Calibri"/>
          <w:color w:val="3A73AE"/>
          <w:sz w:val="28"/>
          <w:szCs w:val="28"/>
        </w:rPr>
        <w:t xml:space="preserve"> </w:t>
      </w:r>
      <w:r w:rsidRPr="00C74907">
        <w:rPr>
          <w:rFonts w:cs="Calibri"/>
          <w:color w:val="3A73AE"/>
          <w:sz w:val="28"/>
          <w:szCs w:val="28"/>
          <w:lang w:val="el-GR"/>
        </w:rPr>
        <w:t>Πειραιώς</w:t>
      </w:r>
    </w:p>
    <w:tbl>
      <w:tblPr>
        <w:tblW w:w="8240" w:type="dxa"/>
        <w:tblInd w:w="-150" w:type="dxa"/>
        <w:tblBorders>
          <w:top w:val="single" w:sz="6" w:space="0" w:color="E0CBA4"/>
          <w:left w:val="single" w:sz="6" w:space="0" w:color="E0CBA4"/>
          <w:bottom w:val="single" w:sz="6" w:space="0" w:color="E0CBA4"/>
          <w:right w:val="single" w:sz="6" w:space="0" w:color="E0CBA4"/>
          <w:insideV w:val="single" w:sz="6" w:space="0" w:color="E0CBA4"/>
        </w:tblBorders>
        <w:shd w:val="clear" w:color="auto" w:fill="EDEBE5"/>
        <w:tblLayout w:type="fixed"/>
        <w:tblCellMar>
          <w:left w:w="113" w:type="dxa"/>
          <w:right w:w="113" w:type="dxa"/>
        </w:tblCellMar>
        <w:tblLook w:val="00A0"/>
      </w:tblPr>
      <w:tblGrid>
        <w:gridCol w:w="3463"/>
        <w:gridCol w:w="955"/>
        <w:gridCol w:w="955"/>
        <w:gridCol w:w="956"/>
        <w:gridCol w:w="955"/>
        <w:gridCol w:w="956"/>
      </w:tblGrid>
      <w:tr w:rsidR="003A48E0" w:rsidRPr="004F197F" w:rsidTr="00D55D34">
        <w:trPr>
          <w:trHeight w:val="592"/>
        </w:trPr>
        <w:tc>
          <w:tcPr>
            <w:tcW w:w="3463" w:type="dxa"/>
            <w:shd w:val="clear" w:color="auto" w:fill="D1AA71"/>
            <w:vAlign w:val="center"/>
          </w:tcPr>
          <w:p w:rsidR="003A48E0" w:rsidRPr="004F197F" w:rsidRDefault="003A48E0" w:rsidP="003B1592">
            <w:pPr>
              <w:pStyle w:val="10TableB"/>
              <w:rPr>
                <w:rFonts w:cstheme="majorHAnsi"/>
                <w:color w:val="FFFFFF" w:themeColor="background1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color w:val="FFFFFF" w:themeColor="background1"/>
                <w:sz w:val="18"/>
                <w:szCs w:val="18"/>
                <w:lang w:val="el-GR"/>
              </w:rPr>
              <w:t xml:space="preserve">Ενοποιημένα Στοιχεία (ποσά </w:t>
            </w:r>
            <w:r w:rsidR="003B1592" w:rsidRPr="004F197F">
              <w:rPr>
                <w:rFonts w:cstheme="majorHAnsi"/>
                <w:color w:val="FFFFFF" w:themeColor="background1"/>
                <w:sz w:val="18"/>
                <w:szCs w:val="18"/>
                <w:lang w:val="el-GR"/>
              </w:rPr>
              <w:t xml:space="preserve">σε € </w:t>
            </w:r>
            <w:r w:rsidRPr="004F197F">
              <w:rPr>
                <w:rFonts w:cstheme="majorHAnsi"/>
                <w:color w:val="FFFFFF" w:themeColor="background1"/>
                <w:sz w:val="18"/>
                <w:szCs w:val="18"/>
                <w:lang w:val="el-GR"/>
              </w:rPr>
              <w:t>εκατ.)</w:t>
            </w:r>
          </w:p>
        </w:tc>
        <w:tc>
          <w:tcPr>
            <w:tcW w:w="955" w:type="dxa"/>
            <w:tcBorders>
              <w:top w:val="single" w:sz="6" w:space="0" w:color="E0CBA4"/>
              <w:bottom w:val="nil"/>
            </w:tcBorders>
            <w:shd w:val="clear" w:color="auto" w:fill="D1AA71"/>
            <w:vAlign w:val="center"/>
          </w:tcPr>
          <w:p w:rsidR="003A48E0" w:rsidRPr="004F197F" w:rsidRDefault="003A48E0" w:rsidP="00597FF5">
            <w:pPr>
              <w:pStyle w:val="10TableB"/>
              <w:jc w:val="right"/>
              <w:rPr>
                <w:rFonts w:cstheme="majorHAnsi"/>
                <w:color w:val="FFFFFF" w:themeColor="background1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color w:val="FFFFFF" w:themeColor="background1"/>
                <w:sz w:val="18"/>
                <w:szCs w:val="18"/>
                <w:lang w:val="el-GR"/>
              </w:rPr>
              <w:t>31.03.16</w:t>
            </w:r>
          </w:p>
        </w:tc>
        <w:tc>
          <w:tcPr>
            <w:tcW w:w="955" w:type="dxa"/>
            <w:tcBorders>
              <w:top w:val="single" w:sz="6" w:space="0" w:color="E0CBA4"/>
              <w:bottom w:val="nil"/>
            </w:tcBorders>
            <w:shd w:val="clear" w:color="auto" w:fill="D1AA71"/>
            <w:vAlign w:val="center"/>
          </w:tcPr>
          <w:p w:rsidR="003A48E0" w:rsidRPr="004F197F" w:rsidRDefault="003A48E0" w:rsidP="00597FF5">
            <w:pPr>
              <w:pStyle w:val="10TableB"/>
              <w:jc w:val="right"/>
              <w:rPr>
                <w:rFonts w:cstheme="majorHAnsi"/>
                <w:color w:val="FFFFFF" w:themeColor="background1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color w:val="FFFFFF" w:themeColor="background1"/>
                <w:sz w:val="18"/>
                <w:szCs w:val="18"/>
                <w:lang w:val="el-GR"/>
              </w:rPr>
              <w:t>31.12.15</w:t>
            </w:r>
          </w:p>
        </w:tc>
        <w:tc>
          <w:tcPr>
            <w:tcW w:w="956" w:type="dxa"/>
            <w:tcBorders>
              <w:right w:val="single" w:sz="8" w:space="0" w:color="D1AA70" w:themeColor="accent2"/>
            </w:tcBorders>
            <w:shd w:val="clear" w:color="auto" w:fill="D1AA71"/>
            <w:vAlign w:val="center"/>
          </w:tcPr>
          <w:p w:rsidR="003A48E0" w:rsidRPr="004F197F" w:rsidRDefault="003A48E0" w:rsidP="00597FF5">
            <w:pPr>
              <w:pStyle w:val="10TableB"/>
              <w:jc w:val="right"/>
              <w:rPr>
                <w:rFonts w:cstheme="majorHAnsi"/>
                <w:color w:val="FFFFFF" w:themeColor="background1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color w:val="FFFFFF" w:themeColor="background1"/>
                <w:sz w:val="18"/>
                <w:szCs w:val="18"/>
                <w:lang w:val="el-GR"/>
              </w:rPr>
              <w:t>31.03.15</w:t>
            </w:r>
          </w:p>
        </w:tc>
        <w:tc>
          <w:tcPr>
            <w:tcW w:w="955" w:type="dxa"/>
            <w:tcBorders>
              <w:left w:val="single" w:sz="8" w:space="0" w:color="D1AA70" w:themeColor="accent2"/>
            </w:tcBorders>
            <w:shd w:val="clear" w:color="auto" w:fill="D1AA71"/>
            <w:vAlign w:val="center"/>
          </w:tcPr>
          <w:p w:rsidR="003A48E0" w:rsidRPr="004F197F" w:rsidRDefault="00597FF5" w:rsidP="00597FF5">
            <w:pPr>
              <w:pStyle w:val="10TableB"/>
              <w:jc w:val="right"/>
              <w:rPr>
                <w:rFonts w:cstheme="majorHAnsi"/>
                <w:i/>
                <w:color w:val="FFFFFF" w:themeColor="background1"/>
                <w:sz w:val="16"/>
                <w:szCs w:val="16"/>
                <w:lang w:val="el-GR"/>
              </w:rPr>
            </w:pPr>
            <w:r w:rsidRPr="004F197F">
              <w:rPr>
                <w:rFonts w:cstheme="majorHAnsi"/>
                <w:i/>
                <w:color w:val="FFFFFF" w:themeColor="background1"/>
                <w:sz w:val="16"/>
                <w:szCs w:val="16"/>
                <w:lang w:val="el-GR"/>
              </w:rPr>
              <w:t>3μηνιαίως</w:t>
            </w:r>
          </w:p>
        </w:tc>
        <w:tc>
          <w:tcPr>
            <w:tcW w:w="956" w:type="dxa"/>
            <w:shd w:val="clear" w:color="auto" w:fill="D1AA71"/>
            <w:vAlign w:val="center"/>
          </w:tcPr>
          <w:p w:rsidR="003A48E0" w:rsidRPr="004F197F" w:rsidRDefault="00B04C8F" w:rsidP="00597FF5">
            <w:pPr>
              <w:pStyle w:val="10TableB"/>
              <w:jc w:val="right"/>
              <w:rPr>
                <w:rFonts w:cstheme="majorHAnsi"/>
                <w:i/>
                <w:color w:val="FFFFFF" w:themeColor="background1"/>
                <w:sz w:val="16"/>
                <w:szCs w:val="16"/>
                <w:lang w:val="el-GR"/>
              </w:rPr>
            </w:pPr>
            <w:r w:rsidRPr="004F197F">
              <w:rPr>
                <w:rFonts w:cstheme="majorHAnsi"/>
                <w:i/>
                <w:color w:val="FFFFFF" w:themeColor="background1"/>
                <w:sz w:val="16"/>
                <w:szCs w:val="16"/>
                <w:lang w:val="el-GR"/>
              </w:rPr>
              <w:t>ε</w:t>
            </w:r>
            <w:r w:rsidR="00597FF5" w:rsidRPr="004F197F">
              <w:rPr>
                <w:rFonts w:cstheme="majorHAnsi"/>
                <w:i/>
                <w:color w:val="FFFFFF" w:themeColor="background1"/>
                <w:sz w:val="16"/>
                <w:szCs w:val="16"/>
                <w:lang w:val="el-GR"/>
              </w:rPr>
              <w:t>τησίως</w:t>
            </w:r>
          </w:p>
        </w:tc>
      </w:tr>
      <w:tr w:rsidR="003A48E0" w:rsidRPr="004F197F" w:rsidTr="00D55D34">
        <w:trPr>
          <w:trHeight w:val="523"/>
        </w:trPr>
        <w:tc>
          <w:tcPr>
            <w:tcW w:w="3463" w:type="dxa"/>
            <w:shd w:val="clear" w:color="auto" w:fill="D9D9D9" w:themeFill="background2"/>
            <w:vAlign w:val="center"/>
          </w:tcPr>
          <w:p w:rsidR="003A48E0" w:rsidRPr="004F197F" w:rsidRDefault="003A48E0" w:rsidP="003A48E0">
            <w:pPr>
              <w:tabs>
                <w:tab w:val="left" w:pos="284"/>
              </w:tabs>
              <w:spacing w:after="0"/>
              <w:rPr>
                <w:rFonts w:asciiTheme="majorHAnsi" w:hAnsiTheme="majorHAnsi" w:cstheme="majorHAnsi"/>
                <w:color w:val="D1AA70" w:themeColor="accent2"/>
                <w:sz w:val="18"/>
                <w:szCs w:val="18"/>
              </w:rPr>
            </w:pPr>
            <w:proofErr w:type="spellStart"/>
            <w:r w:rsidRPr="004F197F">
              <w:rPr>
                <w:rFonts w:asciiTheme="majorHAnsi" w:hAnsiTheme="majorHAnsi" w:cs="Calibri"/>
                <w:b/>
                <w:color w:val="81AAD5" w:themeColor="accent1" w:themeTint="99"/>
                <w:sz w:val="18"/>
                <w:szCs w:val="18"/>
                <w:lang w:val="en-GB"/>
              </w:rPr>
              <w:t>Επιλεγμένα</w:t>
            </w:r>
            <w:proofErr w:type="spellEnd"/>
            <w:r w:rsidRPr="004F197F">
              <w:rPr>
                <w:rFonts w:asciiTheme="majorHAnsi" w:hAnsiTheme="majorHAnsi" w:cs="Calibri"/>
                <w:b/>
                <w:color w:val="81AAD5" w:themeColor="accent1" w:themeTint="99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197F">
              <w:rPr>
                <w:rFonts w:asciiTheme="majorHAnsi" w:hAnsiTheme="majorHAnsi" w:cs="Calibri"/>
                <w:b/>
                <w:color w:val="81AAD5" w:themeColor="accent1" w:themeTint="99"/>
                <w:sz w:val="18"/>
                <w:szCs w:val="18"/>
                <w:lang w:val="en-GB"/>
              </w:rPr>
              <w:t>Μεγέθη</w:t>
            </w:r>
            <w:proofErr w:type="spellEnd"/>
            <w:r w:rsidRPr="004F197F">
              <w:rPr>
                <w:rFonts w:asciiTheme="majorHAnsi" w:hAnsiTheme="majorHAnsi" w:cs="Calibri"/>
                <w:b/>
                <w:color w:val="81AAD5" w:themeColor="accent1" w:themeTint="99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197F">
              <w:rPr>
                <w:rFonts w:asciiTheme="majorHAnsi" w:hAnsiTheme="majorHAnsi" w:cs="Calibri"/>
                <w:b/>
                <w:color w:val="81AAD5" w:themeColor="accent1" w:themeTint="99"/>
                <w:sz w:val="18"/>
                <w:szCs w:val="18"/>
                <w:lang w:val="en-GB"/>
              </w:rPr>
              <w:t>Ισολογισμού</w:t>
            </w:r>
            <w:proofErr w:type="spellEnd"/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D9D9D9" w:themeFill="background2"/>
            <w:vAlign w:val="center"/>
          </w:tcPr>
          <w:p w:rsidR="003A48E0" w:rsidRPr="004F197F" w:rsidRDefault="003A48E0" w:rsidP="00597FF5">
            <w:pPr>
              <w:pStyle w:val="10TableB"/>
              <w:jc w:val="right"/>
              <w:rPr>
                <w:rFonts w:cstheme="majorHAnsi"/>
                <w:color w:val="FFFFFF" w:themeColor="background1"/>
                <w:sz w:val="18"/>
                <w:szCs w:val="18"/>
                <w:lang w:val="el-GR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D9D9D9" w:themeFill="background2"/>
            <w:vAlign w:val="center"/>
          </w:tcPr>
          <w:p w:rsidR="003A48E0" w:rsidRPr="004F197F" w:rsidRDefault="003A48E0" w:rsidP="00597FF5">
            <w:pPr>
              <w:pStyle w:val="10TableB"/>
              <w:jc w:val="right"/>
              <w:rPr>
                <w:rFonts w:cstheme="majorHAnsi"/>
                <w:color w:val="FFFFFF" w:themeColor="background1"/>
                <w:sz w:val="18"/>
                <w:szCs w:val="18"/>
                <w:lang w:val="el-GR"/>
              </w:rPr>
            </w:pPr>
          </w:p>
        </w:tc>
        <w:tc>
          <w:tcPr>
            <w:tcW w:w="956" w:type="dxa"/>
            <w:tcBorders>
              <w:right w:val="single" w:sz="8" w:space="0" w:color="D1AA70" w:themeColor="accent2"/>
            </w:tcBorders>
            <w:shd w:val="clear" w:color="auto" w:fill="D9D9D9" w:themeFill="background2"/>
            <w:vAlign w:val="center"/>
          </w:tcPr>
          <w:p w:rsidR="003A48E0" w:rsidRPr="004F197F" w:rsidRDefault="003A48E0" w:rsidP="00597FF5">
            <w:pPr>
              <w:pStyle w:val="10TableB"/>
              <w:jc w:val="right"/>
              <w:rPr>
                <w:rFonts w:cstheme="majorHAnsi"/>
                <w:i/>
                <w:color w:val="D1AA70" w:themeColor="accent2"/>
                <w:sz w:val="18"/>
                <w:szCs w:val="18"/>
                <w:lang w:val="el-GR"/>
              </w:rPr>
            </w:pPr>
          </w:p>
        </w:tc>
        <w:tc>
          <w:tcPr>
            <w:tcW w:w="955" w:type="dxa"/>
            <w:tcBorders>
              <w:left w:val="single" w:sz="8" w:space="0" w:color="D1AA70" w:themeColor="accent2"/>
            </w:tcBorders>
            <w:shd w:val="clear" w:color="auto" w:fill="D9D9D9" w:themeFill="background2"/>
            <w:vAlign w:val="center"/>
          </w:tcPr>
          <w:p w:rsidR="003A48E0" w:rsidRPr="004F197F" w:rsidRDefault="003A48E0" w:rsidP="00597FF5">
            <w:pPr>
              <w:pStyle w:val="10TableB"/>
              <w:jc w:val="right"/>
              <w:rPr>
                <w:rFonts w:cstheme="majorHAnsi"/>
                <w:i/>
                <w:color w:val="FFFFFF" w:themeColor="background1"/>
                <w:sz w:val="18"/>
                <w:szCs w:val="18"/>
                <w:lang w:val="el-GR"/>
              </w:rPr>
            </w:pPr>
          </w:p>
        </w:tc>
        <w:tc>
          <w:tcPr>
            <w:tcW w:w="956" w:type="dxa"/>
            <w:shd w:val="clear" w:color="auto" w:fill="D9D9D9" w:themeFill="background2"/>
            <w:vAlign w:val="center"/>
          </w:tcPr>
          <w:p w:rsidR="003A48E0" w:rsidRPr="004F197F" w:rsidRDefault="003A48E0" w:rsidP="00597FF5">
            <w:pPr>
              <w:pStyle w:val="10TableB"/>
              <w:jc w:val="right"/>
              <w:rPr>
                <w:rFonts w:cstheme="majorHAnsi"/>
                <w:i/>
                <w:color w:val="D1AA70" w:themeColor="accent2"/>
                <w:sz w:val="18"/>
                <w:szCs w:val="18"/>
                <w:lang w:val="el-GR"/>
              </w:rPr>
            </w:pPr>
          </w:p>
        </w:tc>
      </w:tr>
      <w:tr w:rsidR="003A48E0" w:rsidRPr="004F197F" w:rsidTr="00D55D34">
        <w:trPr>
          <w:trHeight w:val="260"/>
        </w:trPr>
        <w:tc>
          <w:tcPr>
            <w:tcW w:w="3463" w:type="dxa"/>
            <w:shd w:val="clear" w:color="auto" w:fill="FFFFFF" w:themeFill="background1"/>
            <w:tcMar>
              <w:right w:w="113" w:type="dxa"/>
            </w:tcMar>
            <w:vAlign w:val="center"/>
          </w:tcPr>
          <w:p w:rsidR="003A48E0" w:rsidRPr="004F197F" w:rsidRDefault="003A48E0" w:rsidP="003A48E0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0TableB"/>
              <w:jc w:val="right"/>
              <w:rPr>
                <w:rFonts w:cstheme="majorHAnsi"/>
                <w:color w:val="FFFFFF" w:themeColor="background1"/>
                <w:sz w:val="18"/>
                <w:szCs w:val="18"/>
                <w:lang w:val="el-GR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0TableB"/>
              <w:jc w:val="right"/>
              <w:rPr>
                <w:rFonts w:cstheme="majorHAnsi"/>
                <w:color w:val="FFFFFF" w:themeColor="background1"/>
                <w:sz w:val="18"/>
                <w:szCs w:val="18"/>
                <w:lang w:val="el-GR"/>
              </w:rPr>
            </w:pPr>
          </w:p>
        </w:tc>
        <w:tc>
          <w:tcPr>
            <w:tcW w:w="956" w:type="dxa"/>
            <w:tcBorders>
              <w:righ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jc w:val="right"/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0TableB"/>
              <w:jc w:val="right"/>
              <w:rPr>
                <w:rFonts w:cstheme="majorHAnsi"/>
                <w:i/>
                <w:color w:val="FFFFFF" w:themeColor="background1"/>
                <w:sz w:val="18"/>
                <w:szCs w:val="18"/>
                <w:lang w:val="el-GR"/>
              </w:rPr>
            </w:pP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jc w:val="right"/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3A48E0" w:rsidRPr="004F197F" w:rsidTr="00D55D34">
        <w:trPr>
          <w:trHeight w:val="260"/>
        </w:trPr>
        <w:tc>
          <w:tcPr>
            <w:tcW w:w="3463" w:type="dxa"/>
            <w:shd w:val="clear" w:color="auto" w:fill="FFFFFF" w:themeFill="background1"/>
            <w:tcMar>
              <w:right w:w="113" w:type="dxa"/>
            </w:tcMar>
            <w:vAlign w:val="center"/>
          </w:tcPr>
          <w:p w:rsidR="003A48E0" w:rsidRPr="004F197F" w:rsidRDefault="003A48E0" w:rsidP="003A48E0">
            <w:pPr>
              <w:pStyle w:val="11TableP"/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  <w:t>Ενεργητικό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color w:val="000000" w:themeColor="text1"/>
                <w:sz w:val="18"/>
                <w:szCs w:val="18"/>
              </w:rPr>
            </w:pPr>
            <w:r w:rsidRPr="004F197F"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  <w:t>85.682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  <w:t>87.528</w:t>
            </w:r>
          </w:p>
        </w:tc>
        <w:tc>
          <w:tcPr>
            <w:tcW w:w="956" w:type="dxa"/>
            <w:tcBorders>
              <w:righ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  <w:t>88.516</w:t>
            </w:r>
          </w:p>
        </w:tc>
        <w:tc>
          <w:tcPr>
            <w:tcW w:w="955" w:type="dxa"/>
            <w:tcBorders>
              <w:lef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i/>
                <w:sz w:val="18"/>
                <w:szCs w:val="18"/>
              </w:rPr>
            </w:pPr>
            <w:r w:rsidRPr="004F197F">
              <w:rPr>
                <w:rFonts w:cstheme="majorHAnsi"/>
                <w:i/>
                <w:sz w:val="18"/>
                <w:szCs w:val="18"/>
                <w:lang w:val="el-GR"/>
              </w:rPr>
              <w:t>-</w:t>
            </w:r>
            <w:r w:rsidRPr="004F197F">
              <w:rPr>
                <w:rFonts w:cstheme="majorHAnsi"/>
                <w:i/>
                <w:sz w:val="18"/>
                <w:szCs w:val="18"/>
              </w:rPr>
              <w:t>2%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i/>
                <w:sz w:val="18"/>
                <w:szCs w:val="18"/>
              </w:rPr>
            </w:pPr>
            <w:r w:rsidRPr="004F197F">
              <w:rPr>
                <w:rFonts w:cstheme="majorHAnsi"/>
                <w:i/>
                <w:sz w:val="18"/>
                <w:szCs w:val="18"/>
              </w:rPr>
              <w:t>-3%</w:t>
            </w:r>
          </w:p>
        </w:tc>
      </w:tr>
      <w:tr w:rsidR="003A48E0" w:rsidRPr="004F197F" w:rsidTr="00D55D34">
        <w:trPr>
          <w:trHeight w:val="260"/>
        </w:trPr>
        <w:tc>
          <w:tcPr>
            <w:tcW w:w="3463" w:type="dxa"/>
            <w:shd w:val="clear" w:color="auto" w:fill="FFFFFF" w:themeFill="background1"/>
            <w:tcMar>
              <w:right w:w="113" w:type="dxa"/>
            </w:tcMar>
            <w:vAlign w:val="center"/>
          </w:tcPr>
          <w:p w:rsidR="003A48E0" w:rsidRPr="004F197F" w:rsidRDefault="003A48E0" w:rsidP="003A48E0">
            <w:pPr>
              <w:pStyle w:val="11TableP"/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  <w:t>Καταθέσεις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  <w:t>3</w:t>
            </w:r>
            <w:r w:rsidRPr="004F197F">
              <w:rPr>
                <w:rFonts w:cstheme="majorHAnsi"/>
                <w:color w:val="000000" w:themeColor="text1"/>
                <w:sz w:val="18"/>
                <w:szCs w:val="18"/>
              </w:rPr>
              <w:t>7</w:t>
            </w:r>
            <w:r w:rsidRPr="004F197F"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  <w:t>.911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  <w:t>38.952</w:t>
            </w:r>
          </w:p>
        </w:tc>
        <w:tc>
          <w:tcPr>
            <w:tcW w:w="956" w:type="dxa"/>
            <w:tcBorders>
              <w:righ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color w:val="000000" w:themeColor="text1"/>
                <w:sz w:val="18"/>
                <w:szCs w:val="18"/>
              </w:rPr>
            </w:pPr>
            <w:r w:rsidRPr="004F197F">
              <w:rPr>
                <w:rFonts w:cstheme="majorHAnsi"/>
                <w:color w:val="000000" w:themeColor="text1"/>
                <w:sz w:val="18"/>
                <w:szCs w:val="18"/>
              </w:rPr>
              <w:t>44.354</w:t>
            </w:r>
          </w:p>
        </w:tc>
        <w:tc>
          <w:tcPr>
            <w:tcW w:w="955" w:type="dxa"/>
            <w:tcBorders>
              <w:lef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i/>
                <w:sz w:val="18"/>
                <w:szCs w:val="18"/>
              </w:rPr>
            </w:pPr>
            <w:r w:rsidRPr="004F197F">
              <w:rPr>
                <w:rFonts w:cstheme="majorHAnsi"/>
                <w:i/>
                <w:sz w:val="18"/>
                <w:szCs w:val="18"/>
              </w:rPr>
              <w:t>-3%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i/>
                <w:sz w:val="18"/>
                <w:szCs w:val="18"/>
              </w:rPr>
            </w:pPr>
            <w:r w:rsidRPr="004F197F">
              <w:rPr>
                <w:rFonts w:cstheme="majorHAnsi"/>
                <w:i/>
                <w:sz w:val="18"/>
                <w:szCs w:val="18"/>
              </w:rPr>
              <w:t>-15%</w:t>
            </w:r>
          </w:p>
        </w:tc>
      </w:tr>
      <w:tr w:rsidR="003A48E0" w:rsidRPr="004F197F" w:rsidTr="00D55D34">
        <w:trPr>
          <w:trHeight w:val="260"/>
        </w:trPr>
        <w:tc>
          <w:tcPr>
            <w:tcW w:w="3463" w:type="dxa"/>
            <w:shd w:val="clear" w:color="auto" w:fill="FFFFFF" w:themeFill="background1"/>
            <w:tcMar>
              <w:right w:w="113" w:type="dxa"/>
            </w:tcMar>
            <w:vAlign w:val="center"/>
          </w:tcPr>
          <w:p w:rsidR="003A48E0" w:rsidRPr="004F197F" w:rsidRDefault="003A48E0" w:rsidP="005B632D">
            <w:pPr>
              <w:pStyle w:val="11TableP"/>
              <w:ind w:right="-113"/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  <w:t>Δάνεια προ Προβλέψεων &amp; Προσαρμογών</w:t>
            </w:r>
            <w:r w:rsidRPr="004F197F">
              <w:rPr>
                <w:rStyle w:val="aa"/>
                <w:rFonts w:cstheme="majorHAnsi"/>
                <w:color w:val="FFFFFF" w:themeColor="background1"/>
                <w:sz w:val="18"/>
                <w:szCs w:val="18"/>
                <w:lang w:val="el-GR"/>
              </w:rPr>
              <w:footnoteReference w:id="1"/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color w:val="000000" w:themeColor="text1"/>
                <w:sz w:val="18"/>
                <w:szCs w:val="18"/>
              </w:rPr>
            </w:pPr>
            <w:r w:rsidRPr="004F197F">
              <w:rPr>
                <w:rFonts w:cstheme="majorHAnsi"/>
                <w:color w:val="000000" w:themeColor="text1"/>
                <w:sz w:val="18"/>
                <w:szCs w:val="18"/>
              </w:rPr>
              <w:t>66.291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color w:val="000000" w:themeColor="text1"/>
                <w:sz w:val="18"/>
                <w:szCs w:val="18"/>
              </w:rPr>
            </w:pPr>
            <w:r w:rsidRPr="004F197F">
              <w:rPr>
                <w:rFonts w:cstheme="majorHAnsi"/>
                <w:color w:val="000000" w:themeColor="text1"/>
                <w:sz w:val="18"/>
                <w:szCs w:val="18"/>
              </w:rPr>
              <w:t>68.071</w:t>
            </w:r>
          </w:p>
        </w:tc>
        <w:tc>
          <w:tcPr>
            <w:tcW w:w="956" w:type="dxa"/>
            <w:tcBorders>
              <w:righ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color w:val="000000" w:themeColor="text1"/>
                <w:sz w:val="18"/>
                <w:szCs w:val="18"/>
              </w:rPr>
            </w:pPr>
            <w:r w:rsidRPr="004F197F">
              <w:rPr>
                <w:rFonts w:cstheme="majorHAnsi"/>
                <w:color w:val="000000" w:themeColor="text1"/>
                <w:sz w:val="18"/>
                <w:szCs w:val="18"/>
              </w:rPr>
              <w:t>69.794</w:t>
            </w:r>
          </w:p>
        </w:tc>
        <w:tc>
          <w:tcPr>
            <w:tcW w:w="955" w:type="dxa"/>
            <w:tcBorders>
              <w:lef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i/>
                <w:sz w:val="18"/>
                <w:szCs w:val="18"/>
              </w:rPr>
            </w:pPr>
            <w:r w:rsidRPr="004F197F">
              <w:rPr>
                <w:rFonts w:cstheme="majorHAnsi"/>
                <w:i/>
                <w:sz w:val="18"/>
                <w:szCs w:val="18"/>
              </w:rPr>
              <w:t>-3%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i/>
                <w:sz w:val="18"/>
                <w:szCs w:val="18"/>
              </w:rPr>
            </w:pPr>
            <w:r w:rsidRPr="004F197F">
              <w:rPr>
                <w:rFonts w:cstheme="majorHAnsi"/>
                <w:i/>
                <w:sz w:val="18"/>
                <w:szCs w:val="18"/>
              </w:rPr>
              <w:t>-5%</w:t>
            </w:r>
          </w:p>
        </w:tc>
      </w:tr>
      <w:tr w:rsidR="003A48E0" w:rsidRPr="004F197F" w:rsidTr="00D55D34">
        <w:trPr>
          <w:trHeight w:val="260"/>
        </w:trPr>
        <w:tc>
          <w:tcPr>
            <w:tcW w:w="3463" w:type="dxa"/>
            <w:shd w:val="clear" w:color="auto" w:fill="FFFFFF" w:themeFill="background1"/>
            <w:tcMar>
              <w:right w:w="113" w:type="dxa"/>
            </w:tcMar>
            <w:vAlign w:val="center"/>
          </w:tcPr>
          <w:p w:rsidR="003A48E0" w:rsidRPr="004F197F" w:rsidRDefault="003A48E0" w:rsidP="005B632D">
            <w:pPr>
              <w:pStyle w:val="11TableP"/>
              <w:rPr>
                <w:rFonts w:cstheme="majorHAnsi"/>
                <w:color w:val="000000" w:themeColor="text1"/>
                <w:sz w:val="18"/>
                <w:szCs w:val="18"/>
                <w:lang w:val="en-GB"/>
              </w:rPr>
            </w:pPr>
            <w:r w:rsidRPr="004F197F"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  <w:t>Σωρευμένες Προβλέψεις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A48E0" w:rsidRPr="00A713BB" w:rsidRDefault="003A48E0" w:rsidP="00A713BB">
            <w:pPr>
              <w:pStyle w:val="11TableP"/>
              <w:jc w:val="right"/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color w:val="000000" w:themeColor="text1"/>
                <w:sz w:val="18"/>
                <w:szCs w:val="18"/>
              </w:rPr>
              <w:t>17.3</w:t>
            </w:r>
            <w:r w:rsidR="00A713BB"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  <w:t>78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color w:val="000000" w:themeColor="text1"/>
                <w:sz w:val="18"/>
                <w:szCs w:val="18"/>
              </w:rPr>
            </w:pPr>
            <w:r w:rsidRPr="004F197F">
              <w:rPr>
                <w:rFonts w:cstheme="majorHAnsi"/>
                <w:color w:val="000000" w:themeColor="text1"/>
                <w:sz w:val="18"/>
                <w:szCs w:val="18"/>
              </w:rPr>
              <w:t>17.480</w:t>
            </w:r>
          </w:p>
        </w:tc>
        <w:tc>
          <w:tcPr>
            <w:tcW w:w="956" w:type="dxa"/>
            <w:tcBorders>
              <w:righ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color w:val="000000" w:themeColor="text1"/>
                <w:sz w:val="18"/>
                <w:szCs w:val="18"/>
              </w:rPr>
            </w:pPr>
            <w:r w:rsidRPr="004F197F">
              <w:rPr>
                <w:rFonts w:cstheme="majorHAnsi"/>
                <w:color w:val="000000" w:themeColor="text1"/>
                <w:sz w:val="18"/>
                <w:szCs w:val="18"/>
              </w:rPr>
              <w:t>15.456</w:t>
            </w:r>
          </w:p>
        </w:tc>
        <w:tc>
          <w:tcPr>
            <w:tcW w:w="955" w:type="dxa"/>
            <w:tcBorders>
              <w:lef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i/>
                <w:sz w:val="18"/>
                <w:szCs w:val="18"/>
              </w:rPr>
            </w:pPr>
            <w:r w:rsidRPr="004F197F">
              <w:rPr>
                <w:rFonts w:cstheme="majorHAnsi"/>
                <w:i/>
                <w:sz w:val="18"/>
                <w:szCs w:val="18"/>
              </w:rPr>
              <w:t>-1%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i/>
                <w:sz w:val="18"/>
                <w:szCs w:val="18"/>
              </w:rPr>
            </w:pPr>
            <w:r w:rsidRPr="004F197F">
              <w:rPr>
                <w:rFonts w:cstheme="majorHAnsi"/>
                <w:i/>
                <w:sz w:val="18"/>
                <w:szCs w:val="18"/>
              </w:rPr>
              <w:t>12%</w:t>
            </w:r>
          </w:p>
        </w:tc>
      </w:tr>
      <w:tr w:rsidR="003A48E0" w:rsidRPr="004F197F" w:rsidTr="00D55D34">
        <w:trPr>
          <w:trHeight w:val="260"/>
        </w:trPr>
        <w:tc>
          <w:tcPr>
            <w:tcW w:w="3463" w:type="dxa"/>
            <w:shd w:val="clear" w:color="auto" w:fill="FFFFFF" w:themeFill="background1"/>
            <w:tcMar>
              <w:right w:w="113" w:type="dxa"/>
            </w:tcMar>
            <w:vAlign w:val="center"/>
          </w:tcPr>
          <w:p w:rsidR="003A48E0" w:rsidRPr="004F197F" w:rsidRDefault="003A48E0" w:rsidP="003A48E0">
            <w:pPr>
              <w:pStyle w:val="11TableP"/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  <w:t>Σύνολο Ιδίων Κεφαλαίων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color w:val="000000" w:themeColor="text1"/>
                <w:sz w:val="18"/>
                <w:szCs w:val="18"/>
              </w:rPr>
              <w:t>9.947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color w:val="000000" w:themeColor="text1"/>
                <w:sz w:val="18"/>
                <w:szCs w:val="18"/>
              </w:rPr>
              <w:t>10.0</w:t>
            </w:r>
            <w:r w:rsidRPr="004F197F"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  <w:t>21</w:t>
            </w:r>
          </w:p>
        </w:tc>
        <w:tc>
          <w:tcPr>
            <w:tcW w:w="956" w:type="dxa"/>
            <w:tcBorders>
              <w:righ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color w:val="000000" w:themeColor="text1"/>
                <w:sz w:val="18"/>
                <w:szCs w:val="18"/>
              </w:rPr>
            </w:pPr>
            <w:r w:rsidRPr="004F197F">
              <w:rPr>
                <w:rFonts w:cstheme="majorHAnsi"/>
                <w:color w:val="000000" w:themeColor="text1"/>
                <w:sz w:val="18"/>
                <w:szCs w:val="18"/>
              </w:rPr>
              <w:t>7.238</w:t>
            </w:r>
          </w:p>
        </w:tc>
        <w:tc>
          <w:tcPr>
            <w:tcW w:w="955" w:type="dxa"/>
            <w:tcBorders>
              <w:lef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i/>
                <w:sz w:val="18"/>
                <w:szCs w:val="18"/>
              </w:rPr>
            </w:pPr>
            <w:r w:rsidRPr="004F197F">
              <w:rPr>
                <w:rFonts w:cstheme="majorHAnsi"/>
                <w:i/>
                <w:sz w:val="18"/>
                <w:szCs w:val="18"/>
              </w:rPr>
              <w:t>-1%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i/>
                <w:sz w:val="18"/>
                <w:szCs w:val="18"/>
              </w:rPr>
            </w:pPr>
            <w:r w:rsidRPr="004F197F">
              <w:rPr>
                <w:rFonts w:cstheme="majorHAnsi"/>
                <w:i/>
                <w:sz w:val="18"/>
                <w:szCs w:val="18"/>
              </w:rPr>
              <w:t>37%</w:t>
            </w:r>
          </w:p>
        </w:tc>
      </w:tr>
      <w:tr w:rsidR="003A48E0" w:rsidRPr="004F197F" w:rsidTr="00D55D34">
        <w:trPr>
          <w:trHeight w:val="260"/>
        </w:trPr>
        <w:tc>
          <w:tcPr>
            <w:tcW w:w="3463" w:type="dxa"/>
            <w:shd w:val="clear" w:color="auto" w:fill="FFFFFF" w:themeFill="background1"/>
            <w:tcMar>
              <w:right w:w="113" w:type="dxa"/>
            </w:tcMar>
            <w:vAlign w:val="center"/>
          </w:tcPr>
          <w:p w:rsidR="003A48E0" w:rsidRPr="004F197F" w:rsidRDefault="003A48E0" w:rsidP="003A48E0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jc w:val="righ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tcBorders>
              <w:righ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jc w:val="right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55" w:type="dxa"/>
            <w:tcBorders>
              <w:lef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i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jc w:val="right"/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3A48E0" w:rsidRPr="004F197F" w:rsidTr="00D55D34">
        <w:trPr>
          <w:trHeight w:val="523"/>
        </w:trPr>
        <w:tc>
          <w:tcPr>
            <w:tcW w:w="3463" w:type="dxa"/>
            <w:shd w:val="clear" w:color="auto" w:fill="D9D9D9" w:themeFill="background2"/>
            <w:tcMar>
              <w:right w:w="113" w:type="dxa"/>
            </w:tcMar>
            <w:vAlign w:val="center"/>
          </w:tcPr>
          <w:p w:rsidR="003A48E0" w:rsidRPr="004F197F" w:rsidRDefault="003A48E0" w:rsidP="00471476">
            <w:pPr>
              <w:tabs>
                <w:tab w:val="left" w:pos="284"/>
              </w:tabs>
              <w:spacing w:after="0"/>
              <w:rPr>
                <w:rFonts w:asciiTheme="majorHAnsi" w:hAnsiTheme="majorHAnsi" w:cs="Calibri"/>
                <w:b/>
                <w:color w:val="81AAD5" w:themeColor="accent1" w:themeTint="99"/>
                <w:sz w:val="18"/>
                <w:szCs w:val="18"/>
                <w:lang w:val="en-GB"/>
              </w:rPr>
            </w:pPr>
            <w:proofErr w:type="spellStart"/>
            <w:r w:rsidRPr="004F197F">
              <w:rPr>
                <w:rFonts w:asciiTheme="majorHAnsi" w:hAnsiTheme="majorHAnsi" w:cs="Calibri"/>
                <w:b/>
                <w:color w:val="81AAD5" w:themeColor="accent1" w:themeTint="99"/>
                <w:sz w:val="18"/>
                <w:szCs w:val="18"/>
                <w:lang w:val="en-GB"/>
              </w:rPr>
              <w:t>Επιλεγμένα</w:t>
            </w:r>
            <w:proofErr w:type="spellEnd"/>
            <w:r w:rsidRPr="004F197F">
              <w:rPr>
                <w:rFonts w:asciiTheme="majorHAnsi" w:hAnsiTheme="majorHAnsi" w:cs="Calibri"/>
                <w:b/>
                <w:color w:val="81AAD5" w:themeColor="accent1" w:themeTint="99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197F">
              <w:rPr>
                <w:rFonts w:asciiTheme="majorHAnsi" w:hAnsiTheme="majorHAnsi" w:cs="Calibri"/>
                <w:b/>
                <w:color w:val="81AAD5" w:themeColor="accent1" w:themeTint="99"/>
                <w:sz w:val="18"/>
                <w:szCs w:val="18"/>
                <w:lang w:val="en-GB"/>
              </w:rPr>
              <w:t>Αποτελέσματα</w:t>
            </w:r>
            <w:proofErr w:type="spellEnd"/>
          </w:p>
        </w:tc>
        <w:tc>
          <w:tcPr>
            <w:tcW w:w="955" w:type="dxa"/>
            <w:tcBorders>
              <w:top w:val="nil"/>
              <w:bottom w:val="nil"/>
              <w:right w:val="single" w:sz="6" w:space="0" w:color="E0CBA4"/>
            </w:tcBorders>
            <w:shd w:val="clear" w:color="auto" w:fill="D9D9D9" w:themeFill="background2"/>
            <w:vAlign w:val="center"/>
          </w:tcPr>
          <w:p w:rsidR="003A48E0" w:rsidRPr="004F197F" w:rsidRDefault="003A48E0" w:rsidP="00597FF5">
            <w:pPr>
              <w:tabs>
                <w:tab w:val="left" w:pos="284"/>
              </w:tabs>
              <w:spacing w:after="0"/>
              <w:jc w:val="right"/>
              <w:rPr>
                <w:rFonts w:asciiTheme="majorHAnsi" w:hAnsiTheme="majorHAnsi" w:cs="Calibri"/>
                <w:b/>
                <w:color w:val="81AAD5" w:themeColor="accent1" w:themeTint="99"/>
                <w:sz w:val="18"/>
                <w:szCs w:val="18"/>
                <w:lang w:val="en-GB"/>
              </w:rPr>
            </w:pPr>
            <w:r w:rsidRPr="004F197F">
              <w:rPr>
                <w:rFonts w:asciiTheme="majorHAnsi" w:hAnsiTheme="majorHAnsi" w:cs="Calibri"/>
                <w:b/>
                <w:color w:val="81AAD5" w:themeColor="accent1" w:themeTint="99"/>
                <w:sz w:val="18"/>
                <w:szCs w:val="18"/>
                <w:lang w:val="en-GB"/>
              </w:rPr>
              <w:t>1ο 3μ2016</w:t>
            </w:r>
          </w:p>
        </w:tc>
        <w:tc>
          <w:tcPr>
            <w:tcW w:w="955" w:type="dxa"/>
            <w:tcBorders>
              <w:top w:val="nil"/>
              <w:left w:val="single" w:sz="6" w:space="0" w:color="E0CBA4"/>
              <w:bottom w:val="nil"/>
            </w:tcBorders>
            <w:shd w:val="clear" w:color="auto" w:fill="D9D9D9" w:themeFill="background2"/>
            <w:vAlign w:val="center"/>
          </w:tcPr>
          <w:p w:rsidR="003A48E0" w:rsidRPr="004F197F" w:rsidRDefault="003A48E0" w:rsidP="00597FF5">
            <w:pPr>
              <w:tabs>
                <w:tab w:val="left" w:pos="284"/>
              </w:tabs>
              <w:spacing w:after="0"/>
              <w:jc w:val="right"/>
              <w:rPr>
                <w:rFonts w:asciiTheme="majorHAnsi" w:hAnsiTheme="majorHAnsi" w:cs="Calibri"/>
                <w:b/>
                <w:color w:val="81AAD5" w:themeColor="accent1" w:themeTint="99"/>
                <w:sz w:val="18"/>
                <w:szCs w:val="18"/>
                <w:lang w:val="en-GB"/>
              </w:rPr>
            </w:pPr>
            <w:r w:rsidRPr="004F197F">
              <w:rPr>
                <w:rFonts w:asciiTheme="majorHAnsi" w:hAnsiTheme="majorHAnsi" w:cs="Calibri"/>
                <w:b/>
                <w:color w:val="81AAD5" w:themeColor="accent1" w:themeTint="99"/>
                <w:sz w:val="18"/>
                <w:szCs w:val="18"/>
                <w:lang w:val="en-GB"/>
              </w:rPr>
              <w:t>4ο 3μ2015</w:t>
            </w:r>
          </w:p>
        </w:tc>
        <w:tc>
          <w:tcPr>
            <w:tcW w:w="956" w:type="dxa"/>
            <w:tcBorders>
              <w:right w:val="single" w:sz="8" w:space="0" w:color="D1AA70" w:themeColor="accent2"/>
            </w:tcBorders>
            <w:shd w:val="clear" w:color="auto" w:fill="D9D9D9" w:themeFill="background2"/>
            <w:vAlign w:val="center"/>
          </w:tcPr>
          <w:p w:rsidR="003A48E0" w:rsidRPr="004F197F" w:rsidRDefault="003A48E0" w:rsidP="00597FF5">
            <w:pPr>
              <w:tabs>
                <w:tab w:val="left" w:pos="284"/>
              </w:tabs>
              <w:spacing w:after="0"/>
              <w:jc w:val="right"/>
              <w:rPr>
                <w:rFonts w:asciiTheme="majorHAnsi" w:hAnsiTheme="majorHAnsi" w:cs="Calibri"/>
                <w:b/>
                <w:color w:val="81AAD5" w:themeColor="accent1" w:themeTint="99"/>
                <w:sz w:val="18"/>
                <w:szCs w:val="18"/>
                <w:lang w:val="en-GB"/>
              </w:rPr>
            </w:pPr>
            <w:r w:rsidRPr="004F197F">
              <w:rPr>
                <w:rFonts w:asciiTheme="majorHAnsi" w:hAnsiTheme="majorHAnsi" w:cs="Calibri"/>
                <w:b/>
                <w:color w:val="81AAD5" w:themeColor="accent1" w:themeTint="99"/>
                <w:sz w:val="18"/>
                <w:szCs w:val="18"/>
                <w:lang w:val="en-GB"/>
              </w:rPr>
              <w:t>1ο 3μ2015</w:t>
            </w:r>
          </w:p>
        </w:tc>
        <w:tc>
          <w:tcPr>
            <w:tcW w:w="955" w:type="dxa"/>
            <w:tcBorders>
              <w:left w:val="single" w:sz="8" w:space="0" w:color="D1AA70" w:themeColor="accent2"/>
            </w:tcBorders>
            <w:shd w:val="clear" w:color="auto" w:fill="D9D9D9" w:themeFill="background2"/>
            <w:vAlign w:val="center"/>
          </w:tcPr>
          <w:p w:rsidR="003A48E0" w:rsidRPr="004F197F" w:rsidRDefault="003A48E0" w:rsidP="00597FF5">
            <w:pPr>
              <w:tabs>
                <w:tab w:val="left" w:pos="284"/>
              </w:tabs>
              <w:spacing w:after="0"/>
              <w:jc w:val="right"/>
              <w:rPr>
                <w:rFonts w:asciiTheme="majorHAnsi" w:hAnsiTheme="majorHAnsi" w:cs="Calibri"/>
                <w:b/>
                <w:color w:val="81AAD5" w:themeColor="accent1" w:themeTint="99"/>
                <w:sz w:val="18"/>
                <w:szCs w:val="18"/>
                <w:lang w:val="en-GB"/>
              </w:rPr>
            </w:pPr>
          </w:p>
        </w:tc>
        <w:tc>
          <w:tcPr>
            <w:tcW w:w="956" w:type="dxa"/>
            <w:shd w:val="clear" w:color="auto" w:fill="D9D9D9" w:themeFill="background2"/>
            <w:vAlign w:val="center"/>
          </w:tcPr>
          <w:p w:rsidR="003A48E0" w:rsidRPr="004F197F" w:rsidRDefault="003A48E0" w:rsidP="00597FF5">
            <w:pPr>
              <w:tabs>
                <w:tab w:val="left" w:pos="284"/>
              </w:tabs>
              <w:spacing w:after="0"/>
              <w:jc w:val="right"/>
              <w:rPr>
                <w:rFonts w:asciiTheme="majorHAnsi" w:hAnsiTheme="majorHAnsi" w:cs="Calibri"/>
                <w:b/>
                <w:color w:val="81AAD5" w:themeColor="accent1" w:themeTint="99"/>
                <w:sz w:val="18"/>
                <w:szCs w:val="18"/>
                <w:lang w:val="en-GB"/>
              </w:rPr>
            </w:pPr>
          </w:p>
        </w:tc>
      </w:tr>
      <w:tr w:rsidR="003A48E0" w:rsidRPr="004F197F" w:rsidTr="00D55D34">
        <w:trPr>
          <w:trHeight w:val="260"/>
        </w:trPr>
        <w:tc>
          <w:tcPr>
            <w:tcW w:w="3463" w:type="dxa"/>
            <w:shd w:val="clear" w:color="auto" w:fill="FFFFFF" w:themeFill="background1"/>
            <w:tcMar>
              <w:right w:w="113" w:type="dxa"/>
            </w:tcMar>
            <w:vAlign w:val="center"/>
          </w:tcPr>
          <w:p w:rsidR="003A48E0" w:rsidRPr="004F197F" w:rsidRDefault="003A48E0" w:rsidP="003A48E0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bottom w:val="nil"/>
              <w:right w:val="single" w:sz="6" w:space="0" w:color="E0CBA4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0TableB"/>
              <w:jc w:val="right"/>
              <w:rPr>
                <w:rFonts w:cstheme="majorHAnsi"/>
                <w:color w:val="D1AA70" w:themeColor="accent2"/>
                <w:sz w:val="18"/>
                <w:szCs w:val="18"/>
                <w:lang w:val="el-GR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E0CBA4"/>
              <w:bottom w:val="nil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jc w:val="righ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tcBorders>
              <w:righ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jc w:val="righ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0TableB"/>
              <w:jc w:val="right"/>
              <w:rPr>
                <w:rFonts w:cstheme="majorHAnsi"/>
                <w:i/>
                <w:color w:val="FFFFFF" w:themeColor="background1"/>
                <w:sz w:val="18"/>
                <w:szCs w:val="18"/>
                <w:lang w:val="el-GR"/>
              </w:rPr>
            </w:pP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jc w:val="right"/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3A48E0" w:rsidRPr="004F197F" w:rsidTr="00D55D34">
        <w:trPr>
          <w:trHeight w:val="260"/>
        </w:trPr>
        <w:tc>
          <w:tcPr>
            <w:tcW w:w="3463" w:type="dxa"/>
            <w:shd w:val="clear" w:color="auto" w:fill="FFFFFF" w:themeFill="background1"/>
            <w:tcMar>
              <w:right w:w="113" w:type="dxa"/>
            </w:tcMar>
            <w:vAlign w:val="center"/>
          </w:tcPr>
          <w:p w:rsidR="003A48E0" w:rsidRPr="004F197F" w:rsidRDefault="003A48E0" w:rsidP="003A48E0">
            <w:pPr>
              <w:pStyle w:val="11TableP"/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  <w:t>Καθαρά Έσοδα Τόκων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6" w:space="0" w:color="E0CBA4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sz w:val="18"/>
                <w:szCs w:val="18"/>
              </w:rPr>
              <w:t>47</w:t>
            </w:r>
            <w:r w:rsidRPr="004F197F">
              <w:rPr>
                <w:rFonts w:cstheme="majorHAnsi"/>
                <w:sz w:val="18"/>
                <w:szCs w:val="18"/>
                <w:lang w:val="el-GR"/>
              </w:rPr>
              <w:t>8</w:t>
            </w:r>
          </w:p>
        </w:tc>
        <w:tc>
          <w:tcPr>
            <w:tcW w:w="955" w:type="dxa"/>
            <w:tcBorders>
              <w:top w:val="nil"/>
              <w:left w:val="single" w:sz="6" w:space="0" w:color="E0CBA4"/>
              <w:bottom w:val="nil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sz w:val="18"/>
                <w:szCs w:val="18"/>
              </w:rPr>
            </w:pPr>
            <w:r w:rsidRPr="004F197F">
              <w:rPr>
                <w:rFonts w:cstheme="majorHAnsi"/>
                <w:sz w:val="18"/>
                <w:szCs w:val="18"/>
              </w:rPr>
              <w:t>463</w:t>
            </w:r>
          </w:p>
        </w:tc>
        <w:tc>
          <w:tcPr>
            <w:tcW w:w="956" w:type="dxa"/>
            <w:tcBorders>
              <w:righ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sz w:val="18"/>
                <w:szCs w:val="18"/>
              </w:rPr>
            </w:pPr>
            <w:r w:rsidRPr="004F197F">
              <w:rPr>
                <w:rFonts w:cstheme="majorHAnsi"/>
                <w:sz w:val="18"/>
                <w:szCs w:val="18"/>
              </w:rPr>
              <w:t>487</w:t>
            </w:r>
          </w:p>
        </w:tc>
        <w:tc>
          <w:tcPr>
            <w:tcW w:w="955" w:type="dxa"/>
            <w:tcBorders>
              <w:lef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i/>
                <w:sz w:val="18"/>
                <w:szCs w:val="18"/>
              </w:rPr>
            </w:pPr>
            <w:r w:rsidRPr="004F197F">
              <w:rPr>
                <w:rFonts w:cstheme="majorHAnsi"/>
                <w:i/>
                <w:sz w:val="18"/>
                <w:szCs w:val="18"/>
              </w:rPr>
              <w:t>3%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i/>
                <w:sz w:val="18"/>
                <w:szCs w:val="18"/>
              </w:rPr>
            </w:pPr>
            <w:r w:rsidRPr="004F197F">
              <w:rPr>
                <w:rFonts w:cstheme="majorHAnsi"/>
                <w:i/>
                <w:sz w:val="18"/>
                <w:szCs w:val="18"/>
              </w:rPr>
              <w:t>-2%</w:t>
            </w:r>
          </w:p>
        </w:tc>
      </w:tr>
      <w:tr w:rsidR="003A48E0" w:rsidRPr="004F197F" w:rsidTr="00D55D34">
        <w:trPr>
          <w:trHeight w:val="260"/>
        </w:trPr>
        <w:tc>
          <w:tcPr>
            <w:tcW w:w="3463" w:type="dxa"/>
            <w:shd w:val="clear" w:color="auto" w:fill="FFFFFF" w:themeFill="background1"/>
            <w:tcMar>
              <w:right w:w="113" w:type="dxa"/>
            </w:tcMar>
            <w:vAlign w:val="center"/>
          </w:tcPr>
          <w:p w:rsidR="003A48E0" w:rsidRPr="004F197F" w:rsidRDefault="003A48E0" w:rsidP="003A48E0">
            <w:pPr>
              <w:pStyle w:val="11TableP"/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  <w:t>Καθαρά Έσοδα Προμηθειών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6" w:space="0" w:color="E0CBA4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sz w:val="18"/>
                <w:szCs w:val="18"/>
              </w:rPr>
            </w:pPr>
            <w:r w:rsidRPr="004F197F">
              <w:rPr>
                <w:rFonts w:cstheme="majorHAnsi"/>
                <w:sz w:val="18"/>
                <w:szCs w:val="18"/>
              </w:rPr>
              <w:t>74</w:t>
            </w:r>
          </w:p>
        </w:tc>
        <w:tc>
          <w:tcPr>
            <w:tcW w:w="955" w:type="dxa"/>
            <w:tcBorders>
              <w:top w:val="nil"/>
              <w:left w:val="single" w:sz="6" w:space="0" w:color="E0CBA4"/>
              <w:bottom w:val="nil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sz w:val="18"/>
                <w:szCs w:val="18"/>
                <w:lang w:val="el-GR"/>
              </w:rPr>
              <w:t>79</w:t>
            </w:r>
          </w:p>
        </w:tc>
        <w:tc>
          <w:tcPr>
            <w:tcW w:w="956" w:type="dxa"/>
            <w:tcBorders>
              <w:righ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sz w:val="18"/>
                <w:szCs w:val="18"/>
                <w:lang w:val="el-GR"/>
              </w:rPr>
              <w:t>78</w:t>
            </w:r>
          </w:p>
        </w:tc>
        <w:tc>
          <w:tcPr>
            <w:tcW w:w="955" w:type="dxa"/>
            <w:tcBorders>
              <w:lef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i/>
                <w:sz w:val="18"/>
                <w:szCs w:val="18"/>
              </w:rPr>
            </w:pPr>
            <w:r w:rsidRPr="004F197F">
              <w:rPr>
                <w:rFonts w:cstheme="majorHAnsi"/>
                <w:i/>
                <w:sz w:val="18"/>
                <w:szCs w:val="18"/>
              </w:rPr>
              <w:t>-6%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i/>
                <w:sz w:val="18"/>
                <w:szCs w:val="18"/>
              </w:rPr>
            </w:pPr>
            <w:r w:rsidRPr="004F197F">
              <w:rPr>
                <w:rFonts w:cstheme="majorHAnsi"/>
                <w:i/>
                <w:sz w:val="18"/>
                <w:szCs w:val="18"/>
              </w:rPr>
              <w:t>-6%</w:t>
            </w:r>
          </w:p>
        </w:tc>
      </w:tr>
      <w:tr w:rsidR="003A48E0" w:rsidRPr="004F197F" w:rsidTr="00D55D34">
        <w:trPr>
          <w:trHeight w:val="260"/>
        </w:trPr>
        <w:tc>
          <w:tcPr>
            <w:tcW w:w="3463" w:type="dxa"/>
            <w:shd w:val="clear" w:color="auto" w:fill="FFFFFF" w:themeFill="background1"/>
            <w:tcMar>
              <w:right w:w="113" w:type="dxa"/>
            </w:tcMar>
            <w:vAlign w:val="center"/>
          </w:tcPr>
          <w:p w:rsidR="003A48E0" w:rsidRPr="004F197F" w:rsidRDefault="003A48E0" w:rsidP="003A48E0">
            <w:pPr>
              <w:pStyle w:val="11TableP"/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  <w:t xml:space="preserve">Αποτελέσματα Εμπορ. &amp; </w:t>
            </w:r>
            <w:proofErr w:type="spellStart"/>
            <w:r w:rsidRPr="004F197F"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  <w:t>Επενδ</w:t>
            </w:r>
            <w:proofErr w:type="spellEnd"/>
            <w:r w:rsidRPr="004F197F"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  <w:t xml:space="preserve">. </w:t>
            </w:r>
            <w:proofErr w:type="spellStart"/>
            <w:r w:rsidRPr="004F197F"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  <w:t>Χαρτ</w:t>
            </w:r>
            <w:proofErr w:type="spellEnd"/>
            <w:r w:rsidRPr="004F197F"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  <w:t>/</w:t>
            </w:r>
            <w:proofErr w:type="spellStart"/>
            <w:r w:rsidRPr="004F197F"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  <w:t>κίου</w:t>
            </w:r>
            <w:proofErr w:type="spellEnd"/>
          </w:p>
        </w:tc>
        <w:tc>
          <w:tcPr>
            <w:tcW w:w="955" w:type="dxa"/>
            <w:tcBorders>
              <w:top w:val="nil"/>
              <w:bottom w:val="nil"/>
              <w:right w:val="single" w:sz="6" w:space="0" w:color="E0CBA4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sz w:val="18"/>
                <w:szCs w:val="18"/>
              </w:rPr>
            </w:pPr>
            <w:r w:rsidRPr="004F197F">
              <w:rPr>
                <w:rFonts w:cstheme="majorHAnsi"/>
                <w:sz w:val="18"/>
                <w:szCs w:val="18"/>
              </w:rPr>
              <w:t>6</w:t>
            </w:r>
          </w:p>
        </w:tc>
        <w:tc>
          <w:tcPr>
            <w:tcW w:w="955" w:type="dxa"/>
            <w:tcBorders>
              <w:top w:val="nil"/>
              <w:left w:val="single" w:sz="6" w:space="0" w:color="E0CBA4"/>
              <w:bottom w:val="nil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sz w:val="18"/>
                <w:szCs w:val="18"/>
              </w:rPr>
            </w:pPr>
            <w:r w:rsidRPr="004F197F">
              <w:rPr>
                <w:rFonts w:cstheme="majorHAnsi"/>
                <w:sz w:val="18"/>
                <w:szCs w:val="18"/>
                <w:lang w:val="el-GR"/>
              </w:rPr>
              <w:t>4</w:t>
            </w:r>
            <w:r w:rsidRPr="004F197F">
              <w:rPr>
                <w:rFonts w:cstheme="majorHAnsi"/>
                <w:sz w:val="18"/>
                <w:szCs w:val="18"/>
              </w:rPr>
              <w:t>6</w:t>
            </w:r>
          </w:p>
        </w:tc>
        <w:tc>
          <w:tcPr>
            <w:tcW w:w="956" w:type="dxa"/>
            <w:tcBorders>
              <w:righ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sz w:val="18"/>
                <w:szCs w:val="18"/>
              </w:rPr>
            </w:pPr>
            <w:r w:rsidRPr="004F197F">
              <w:rPr>
                <w:rFonts w:cstheme="majorHAnsi"/>
                <w:sz w:val="18"/>
                <w:szCs w:val="18"/>
              </w:rPr>
              <w:t>(9)</w:t>
            </w:r>
          </w:p>
        </w:tc>
        <w:tc>
          <w:tcPr>
            <w:tcW w:w="955" w:type="dxa"/>
            <w:tcBorders>
              <w:lef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i/>
                <w:sz w:val="18"/>
                <w:szCs w:val="18"/>
              </w:rPr>
            </w:pPr>
            <w:r w:rsidRPr="004F197F">
              <w:rPr>
                <w:rFonts w:cstheme="majorHAnsi"/>
                <w:i/>
                <w:sz w:val="18"/>
                <w:szCs w:val="18"/>
              </w:rPr>
              <w:t>-87%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3A48E0" w:rsidRPr="004F197F" w:rsidRDefault="00DD7437" w:rsidP="00597FF5">
            <w:pPr>
              <w:pStyle w:val="11TableP"/>
              <w:jc w:val="right"/>
              <w:rPr>
                <w:rFonts w:cstheme="majorHAnsi"/>
                <w:i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i/>
                <w:sz w:val="18"/>
                <w:szCs w:val="18"/>
                <w:lang w:val="el-GR"/>
              </w:rPr>
              <w:t>&gt;-100%</w:t>
            </w:r>
          </w:p>
        </w:tc>
      </w:tr>
      <w:tr w:rsidR="003A48E0" w:rsidRPr="004F197F" w:rsidTr="00D55D34">
        <w:trPr>
          <w:trHeight w:val="260"/>
        </w:trPr>
        <w:tc>
          <w:tcPr>
            <w:tcW w:w="3463" w:type="dxa"/>
            <w:shd w:val="clear" w:color="auto" w:fill="FFFFFF" w:themeFill="background1"/>
            <w:tcMar>
              <w:right w:w="113" w:type="dxa"/>
            </w:tcMar>
            <w:vAlign w:val="center"/>
          </w:tcPr>
          <w:p w:rsidR="003A48E0" w:rsidRPr="004F197F" w:rsidRDefault="003A48E0" w:rsidP="003A48E0">
            <w:pPr>
              <w:pStyle w:val="11TableP"/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  <w:t>Λοιπά Έσοδα &amp; Μερίσματα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6" w:space="0" w:color="E0CBA4"/>
            </w:tcBorders>
            <w:shd w:val="clear" w:color="auto" w:fill="FFFFFF" w:themeFill="background1"/>
            <w:vAlign w:val="center"/>
          </w:tcPr>
          <w:p w:rsidR="003A48E0" w:rsidRPr="004F197F" w:rsidRDefault="003A48E0" w:rsidP="00BD4C98">
            <w:pPr>
              <w:pStyle w:val="11TableP"/>
              <w:jc w:val="right"/>
              <w:rPr>
                <w:rFonts w:cstheme="majorHAnsi"/>
                <w:sz w:val="18"/>
                <w:szCs w:val="18"/>
              </w:rPr>
            </w:pPr>
            <w:r w:rsidRPr="004F197F">
              <w:rPr>
                <w:rFonts w:cstheme="majorHAnsi"/>
                <w:sz w:val="18"/>
                <w:szCs w:val="18"/>
              </w:rPr>
              <w:t>2</w:t>
            </w:r>
            <w:r w:rsidR="00BD4C98" w:rsidRPr="004F197F">
              <w:rPr>
                <w:rFonts w:cstheme="majorHAnsi"/>
                <w:sz w:val="18"/>
                <w:szCs w:val="18"/>
                <w:lang w:val="el-GR"/>
              </w:rPr>
              <w:t>4</w:t>
            </w:r>
          </w:p>
        </w:tc>
        <w:tc>
          <w:tcPr>
            <w:tcW w:w="955" w:type="dxa"/>
            <w:tcBorders>
              <w:top w:val="nil"/>
              <w:left w:val="single" w:sz="6" w:space="0" w:color="E0CBA4"/>
              <w:bottom w:val="nil"/>
            </w:tcBorders>
            <w:shd w:val="clear" w:color="auto" w:fill="FFFFFF" w:themeFill="background1"/>
            <w:vAlign w:val="center"/>
          </w:tcPr>
          <w:p w:rsidR="003A48E0" w:rsidRPr="004F197F" w:rsidRDefault="006654F1" w:rsidP="00DD1FE0">
            <w:pPr>
              <w:pStyle w:val="11TableP"/>
              <w:jc w:val="right"/>
              <w:rPr>
                <w:rFonts w:cstheme="majorHAnsi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sz w:val="18"/>
                <w:szCs w:val="18"/>
                <w:lang w:val="el-GR"/>
              </w:rPr>
              <w:t>1</w:t>
            </w:r>
            <w:r w:rsidR="00DD1FE0">
              <w:rPr>
                <w:rFonts w:cstheme="majorHAnsi"/>
                <w:sz w:val="18"/>
                <w:szCs w:val="18"/>
                <w:lang w:val="el-GR"/>
              </w:rPr>
              <w:t>7</w:t>
            </w:r>
          </w:p>
        </w:tc>
        <w:tc>
          <w:tcPr>
            <w:tcW w:w="956" w:type="dxa"/>
            <w:tcBorders>
              <w:righ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3A48E0" w:rsidRPr="004F197F" w:rsidRDefault="003A48E0" w:rsidP="00DD1FE0">
            <w:pPr>
              <w:pStyle w:val="11TableP"/>
              <w:jc w:val="right"/>
              <w:rPr>
                <w:rFonts w:cstheme="majorHAnsi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sz w:val="18"/>
                <w:szCs w:val="18"/>
                <w:lang w:val="el-GR"/>
              </w:rPr>
              <w:t>1</w:t>
            </w:r>
            <w:r w:rsidR="00DD1FE0">
              <w:rPr>
                <w:rFonts w:cstheme="majorHAnsi"/>
                <w:sz w:val="18"/>
                <w:szCs w:val="18"/>
                <w:lang w:val="el-GR"/>
              </w:rPr>
              <w:t>4</w:t>
            </w:r>
          </w:p>
        </w:tc>
        <w:tc>
          <w:tcPr>
            <w:tcW w:w="955" w:type="dxa"/>
            <w:tcBorders>
              <w:lef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3A48E0" w:rsidRPr="004F197F" w:rsidRDefault="00DD1FE0" w:rsidP="00597FF5">
            <w:pPr>
              <w:pStyle w:val="11TableP"/>
              <w:jc w:val="right"/>
              <w:rPr>
                <w:rFonts w:cstheme="majorHAnsi"/>
                <w:i/>
                <w:sz w:val="18"/>
                <w:szCs w:val="18"/>
              </w:rPr>
            </w:pPr>
            <w:r>
              <w:rPr>
                <w:rFonts w:cstheme="majorHAnsi"/>
                <w:i/>
                <w:sz w:val="18"/>
                <w:szCs w:val="18"/>
                <w:lang w:val="el-GR"/>
              </w:rPr>
              <w:t>42</w:t>
            </w:r>
            <w:r w:rsidR="003A48E0" w:rsidRPr="004F197F">
              <w:rPr>
                <w:rFonts w:cstheme="majorHAnsi"/>
                <w:i/>
                <w:sz w:val="18"/>
                <w:szCs w:val="18"/>
              </w:rPr>
              <w:t>%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3A48E0" w:rsidRPr="004F197F" w:rsidRDefault="00DD1FE0" w:rsidP="00597FF5">
            <w:pPr>
              <w:pStyle w:val="11TableP"/>
              <w:jc w:val="right"/>
              <w:rPr>
                <w:rFonts w:cstheme="majorHAnsi"/>
                <w:i/>
                <w:sz w:val="18"/>
                <w:szCs w:val="18"/>
              </w:rPr>
            </w:pPr>
            <w:r>
              <w:rPr>
                <w:rFonts w:cstheme="majorHAnsi"/>
                <w:i/>
                <w:sz w:val="18"/>
                <w:szCs w:val="18"/>
                <w:lang w:val="el-GR"/>
              </w:rPr>
              <w:t>72</w:t>
            </w:r>
            <w:r w:rsidR="003A48E0" w:rsidRPr="004F197F">
              <w:rPr>
                <w:rFonts w:cstheme="majorHAnsi"/>
                <w:i/>
                <w:sz w:val="18"/>
                <w:szCs w:val="18"/>
              </w:rPr>
              <w:t>%</w:t>
            </w:r>
          </w:p>
        </w:tc>
      </w:tr>
      <w:tr w:rsidR="003A48E0" w:rsidRPr="004F197F" w:rsidTr="00D55D34">
        <w:trPr>
          <w:trHeight w:val="260"/>
        </w:trPr>
        <w:tc>
          <w:tcPr>
            <w:tcW w:w="3463" w:type="dxa"/>
            <w:shd w:val="clear" w:color="auto" w:fill="FFFFFF" w:themeFill="background1"/>
            <w:tcMar>
              <w:right w:w="113" w:type="dxa"/>
            </w:tcMar>
            <w:vAlign w:val="center"/>
          </w:tcPr>
          <w:p w:rsidR="003A48E0" w:rsidRPr="004F197F" w:rsidRDefault="003A48E0" w:rsidP="003A48E0">
            <w:pPr>
              <w:pStyle w:val="10TableB"/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  <w:t>Σύνολο Καθαρών Λειτουργικών Εσόδων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6" w:space="0" w:color="E0CBA4"/>
            </w:tcBorders>
            <w:shd w:val="clear" w:color="auto" w:fill="FFFFFF" w:themeFill="background1"/>
            <w:vAlign w:val="center"/>
          </w:tcPr>
          <w:p w:rsidR="003A48E0" w:rsidRPr="004F197F" w:rsidRDefault="003A48E0" w:rsidP="00BD4C98">
            <w:pPr>
              <w:pStyle w:val="11TableP"/>
              <w:jc w:val="right"/>
              <w:rPr>
                <w:rFonts w:cstheme="majorHAnsi"/>
                <w:b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b/>
                <w:sz w:val="18"/>
                <w:szCs w:val="18"/>
              </w:rPr>
              <w:t>58</w:t>
            </w:r>
            <w:r w:rsidR="00BD4C98" w:rsidRPr="004F197F">
              <w:rPr>
                <w:rFonts w:cstheme="majorHAnsi"/>
                <w:b/>
                <w:sz w:val="18"/>
                <w:szCs w:val="18"/>
                <w:lang w:val="el-GR"/>
              </w:rPr>
              <w:t>1</w:t>
            </w:r>
          </w:p>
        </w:tc>
        <w:tc>
          <w:tcPr>
            <w:tcW w:w="955" w:type="dxa"/>
            <w:tcBorders>
              <w:top w:val="nil"/>
              <w:left w:val="single" w:sz="6" w:space="0" w:color="E0CBA4"/>
              <w:bottom w:val="nil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0TableB"/>
              <w:jc w:val="right"/>
              <w:rPr>
                <w:rFonts w:cstheme="majorHAnsi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sz w:val="18"/>
                <w:szCs w:val="18"/>
                <w:lang w:val="el-GR"/>
              </w:rPr>
              <w:t>605</w:t>
            </w:r>
          </w:p>
        </w:tc>
        <w:tc>
          <w:tcPr>
            <w:tcW w:w="956" w:type="dxa"/>
            <w:tcBorders>
              <w:righ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0TableB"/>
              <w:jc w:val="right"/>
              <w:rPr>
                <w:rFonts w:cstheme="majorHAnsi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sz w:val="18"/>
                <w:szCs w:val="18"/>
                <w:lang w:val="el-GR"/>
              </w:rPr>
              <w:t>569</w:t>
            </w:r>
          </w:p>
        </w:tc>
        <w:tc>
          <w:tcPr>
            <w:tcW w:w="955" w:type="dxa"/>
            <w:tcBorders>
              <w:lef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b/>
                <w:i/>
                <w:sz w:val="18"/>
                <w:szCs w:val="18"/>
              </w:rPr>
            </w:pPr>
            <w:r w:rsidRPr="004F197F">
              <w:rPr>
                <w:rFonts w:cstheme="majorHAnsi"/>
                <w:b/>
                <w:i/>
                <w:sz w:val="18"/>
                <w:szCs w:val="18"/>
              </w:rPr>
              <w:t>-4%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3A48E0" w:rsidRPr="004F197F" w:rsidRDefault="006654F1" w:rsidP="00597FF5">
            <w:pPr>
              <w:pStyle w:val="10TableB"/>
              <w:jc w:val="right"/>
              <w:rPr>
                <w:rFonts w:cstheme="majorHAnsi"/>
                <w:i/>
                <w:sz w:val="18"/>
                <w:szCs w:val="18"/>
              </w:rPr>
            </w:pPr>
            <w:r w:rsidRPr="004F197F">
              <w:rPr>
                <w:rFonts w:cstheme="majorHAnsi"/>
                <w:i/>
                <w:sz w:val="18"/>
                <w:szCs w:val="18"/>
                <w:lang w:val="el-GR"/>
              </w:rPr>
              <w:t>2</w:t>
            </w:r>
            <w:r w:rsidR="003A48E0" w:rsidRPr="004F197F">
              <w:rPr>
                <w:rFonts w:cstheme="majorHAnsi"/>
                <w:i/>
                <w:sz w:val="18"/>
                <w:szCs w:val="18"/>
              </w:rPr>
              <w:t>%</w:t>
            </w:r>
          </w:p>
        </w:tc>
      </w:tr>
      <w:tr w:rsidR="003A48E0" w:rsidRPr="004F197F" w:rsidTr="00D55D34">
        <w:trPr>
          <w:trHeight w:val="260"/>
        </w:trPr>
        <w:tc>
          <w:tcPr>
            <w:tcW w:w="3463" w:type="dxa"/>
            <w:shd w:val="clear" w:color="auto" w:fill="FFFFFF" w:themeFill="background1"/>
            <w:tcMar>
              <w:right w:w="113" w:type="dxa"/>
            </w:tcMar>
            <w:vAlign w:val="center"/>
          </w:tcPr>
          <w:p w:rsidR="003A48E0" w:rsidRPr="004F197F" w:rsidRDefault="003A48E0" w:rsidP="00471476">
            <w:pPr>
              <w:tabs>
                <w:tab w:val="left" w:pos="284"/>
              </w:tabs>
              <w:spacing w:after="0"/>
              <w:rPr>
                <w:rFonts w:asciiTheme="majorHAnsi" w:hAnsiTheme="majorHAnsi" w:cs="Calibri"/>
                <w:b/>
                <w:i/>
                <w:color w:val="81AAD5" w:themeColor="accent1" w:themeTint="99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bottom w:val="nil"/>
              <w:right w:val="single" w:sz="6" w:space="0" w:color="E0CBA4"/>
            </w:tcBorders>
            <w:shd w:val="clear" w:color="auto" w:fill="FFFFFF" w:themeFill="background1"/>
            <w:vAlign w:val="center"/>
          </w:tcPr>
          <w:p w:rsidR="003A48E0" w:rsidRPr="004F197F" w:rsidRDefault="003A48E0" w:rsidP="00FB384A">
            <w:pPr>
              <w:tabs>
                <w:tab w:val="left" w:pos="284"/>
              </w:tabs>
              <w:spacing w:after="0"/>
              <w:jc w:val="right"/>
              <w:rPr>
                <w:rFonts w:asciiTheme="majorHAnsi" w:hAnsiTheme="majorHAnsi" w:cs="Calibri"/>
                <w:b/>
                <w:i/>
                <w:color w:val="81AAD5" w:themeColor="accent1" w:themeTint="99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E0CBA4"/>
              <w:bottom w:val="nil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tabs>
                <w:tab w:val="left" w:pos="284"/>
              </w:tabs>
              <w:spacing w:after="0"/>
              <w:jc w:val="right"/>
              <w:rPr>
                <w:rFonts w:asciiTheme="majorHAnsi" w:hAnsiTheme="majorHAnsi" w:cs="Calibri"/>
                <w:b/>
                <w:i/>
                <w:color w:val="81AAD5" w:themeColor="accent1" w:themeTint="99"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tcBorders>
              <w:righ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tabs>
                <w:tab w:val="left" w:pos="284"/>
              </w:tabs>
              <w:spacing w:after="0"/>
              <w:jc w:val="right"/>
              <w:rPr>
                <w:rFonts w:asciiTheme="majorHAnsi" w:hAnsiTheme="majorHAnsi" w:cs="Calibri"/>
                <w:b/>
                <w:i/>
                <w:color w:val="81AAD5" w:themeColor="accent1" w:themeTint="99"/>
                <w:sz w:val="18"/>
                <w:szCs w:val="18"/>
                <w:lang w:val="en-US"/>
              </w:rPr>
            </w:pPr>
          </w:p>
        </w:tc>
        <w:tc>
          <w:tcPr>
            <w:tcW w:w="955" w:type="dxa"/>
            <w:tcBorders>
              <w:lef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tabs>
                <w:tab w:val="left" w:pos="284"/>
              </w:tabs>
              <w:spacing w:after="0"/>
              <w:jc w:val="right"/>
              <w:rPr>
                <w:rFonts w:asciiTheme="majorHAnsi" w:hAnsiTheme="majorHAnsi" w:cs="Calibri"/>
                <w:b/>
                <w:i/>
                <w:color w:val="81AAD5" w:themeColor="accent1" w:themeTint="99"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tabs>
                <w:tab w:val="left" w:pos="284"/>
              </w:tabs>
              <w:spacing w:after="0"/>
              <w:jc w:val="right"/>
              <w:rPr>
                <w:rFonts w:asciiTheme="majorHAnsi" w:hAnsiTheme="majorHAnsi" w:cs="Calibri"/>
                <w:b/>
                <w:i/>
                <w:color w:val="81AAD5" w:themeColor="accent1" w:themeTint="99"/>
                <w:sz w:val="18"/>
                <w:szCs w:val="18"/>
                <w:lang w:val="en-US"/>
              </w:rPr>
            </w:pPr>
          </w:p>
        </w:tc>
      </w:tr>
      <w:tr w:rsidR="003A48E0" w:rsidRPr="004F197F" w:rsidTr="00D55D34">
        <w:trPr>
          <w:trHeight w:val="260"/>
        </w:trPr>
        <w:tc>
          <w:tcPr>
            <w:tcW w:w="3463" w:type="dxa"/>
            <w:shd w:val="clear" w:color="auto" w:fill="FFFFFF" w:themeFill="background1"/>
            <w:tcMar>
              <w:right w:w="113" w:type="dxa"/>
            </w:tcMar>
            <w:vAlign w:val="center"/>
          </w:tcPr>
          <w:p w:rsidR="003A48E0" w:rsidRPr="004F197F" w:rsidRDefault="003A48E0" w:rsidP="003A48E0">
            <w:pPr>
              <w:pStyle w:val="11TableP"/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955" w:type="dxa"/>
            <w:tcBorders>
              <w:top w:val="nil"/>
              <w:bottom w:val="nil"/>
              <w:right w:val="single" w:sz="6" w:space="0" w:color="E0CBA4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sz w:val="18"/>
                <w:szCs w:val="18"/>
                <w:lang w:val="el-GR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E0CBA4"/>
              <w:bottom w:val="nil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sz w:val="18"/>
                <w:szCs w:val="18"/>
                <w:lang w:val="el-GR"/>
              </w:rPr>
            </w:pPr>
          </w:p>
        </w:tc>
        <w:tc>
          <w:tcPr>
            <w:tcW w:w="956" w:type="dxa"/>
            <w:tcBorders>
              <w:righ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sz w:val="18"/>
                <w:szCs w:val="18"/>
                <w:lang w:val="el-GR"/>
              </w:rPr>
            </w:pPr>
          </w:p>
        </w:tc>
        <w:tc>
          <w:tcPr>
            <w:tcW w:w="955" w:type="dxa"/>
            <w:tcBorders>
              <w:lef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i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i/>
                <w:sz w:val="18"/>
                <w:szCs w:val="18"/>
                <w:highlight w:val="yellow"/>
                <w:lang w:val="el-GR"/>
              </w:rPr>
            </w:pPr>
          </w:p>
        </w:tc>
      </w:tr>
      <w:tr w:rsidR="003A48E0" w:rsidRPr="004F197F" w:rsidTr="00D55D34">
        <w:trPr>
          <w:trHeight w:val="260"/>
        </w:trPr>
        <w:tc>
          <w:tcPr>
            <w:tcW w:w="3463" w:type="dxa"/>
            <w:shd w:val="clear" w:color="auto" w:fill="FFFFFF" w:themeFill="background1"/>
            <w:tcMar>
              <w:right w:w="113" w:type="dxa"/>
            </w:tcMar>
            <w:vAlign w:val="center"/>
          </w:tcPr>
          <w:p w:rsidR="003A48E0" w:rsidRPr="004F197F" w:rsidRDefault="003A48E0" w:rsidP="003A48E0">
            <w:pPr>
              <w:pStyle w:val="11TableP"/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  <w:t>Δαπάνες Προσωπικού</w:t>
            </w:r>
          </w:p>
        </w:tc>
        <w:tc>
          <w:tcPr>
            <w:tcW w:w="955" w:type="dxa"/>
            <w:tcBorders>
              <w:top w:val="nil"/>
              <w:left w:val="single" w:sz="4" w:space="0" w:color="909090" w:themeColor="accent3" w:themeTint="99"/>
              <w:bottom w:val="nil"/>
            </w:tcBorders>
            <w:shd w:val="clear" w:color="auto" w:fill="FFFFFF" w:themeFill="background1"/>
            <w:vAlign w:val="center"/>
          </w:tcPr>
          <w:p w:rsidR="003A48E0" w:rsidRPr="004F197F" w:rsidRDefault="003A48E0" w:rsidP="006654F1">
            <w:pPr>
              <w:pStyle w:val="11TableP"/>
              <w:jc w:val="right"/>
              <w:rPr>
                <w:rFonts w:cstheme="majorHAnsi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sz w:val="18"/>
                <w:szCs w:val="18"/>
                <w:lang w:val="el-GR"/>
              </w:rPr>
              <w:t>(1</w:t>
            </w:r>
            <w:r w:rsidR="006654F1" w:rsidRPr="004F197F">
              <w:rPr>
                <w:rFonts w:cstheme="majorHAnsi"/>
                <w:sz w:val="18"/>
                <w:szCs w:val="18"/>
                <w:lang w:val="el-GR"/>
              </w:rPr>
              <w:t>60</w:t>
            </w:r>
            <w:r w:rsidRPr="004F197F">
              <w:rPr>
                <w:rFonts w:cstheme="majorHAnsi"/>
                <w:sz w:val="18"/>
                <w:szCs w:val="18"/>
                <w:lang w:val="el-GR"/>
              </w:rPr>
              <w:t>)</w:t>
            </w:r>
          </w:p>
        </w:tc>
        <w:tc>
          <w:tcPr>
            <w:tcW w:w="955" w:type="dxa"/>
            <w:tcBorders>
              <w:top w:val="nil"/>
              <w:left w:val="single" w:sz="4" w:space="0" w:color="909090" w:themeColor="accent3" w:themeTint="99"/>
              <w:bottom w:val="nil"/>
            </w:tcBorders>
            <w:shd w:val="clear" w:color="auto" w:fill="FFFFFF" w:themeFill="background1"/>
            <w:vAlign w:val="center"/>
          </w:tcPr>
          <w:p w:rsidR="003A48E0" w:rsidRPr="004F197F" w:rsidRDefault="003A48E0" w:rsidP="00DD7437">
            <w:pPr>
              <w:pStyle w:val="11TableP"/>
              <w:jc w:val="right"/>
              <w:rPr>
                <w:rFonts w:cstheme="majorHAnsi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sz w:val="18"/>
                <w:szCs w:val="18"/>
                <w:lang w:val="el-GR"/>
              </w:rPr>
              <w:t>(</w:t>
            </w:r>
            <w:r w:rsidR="00DD7437" w:rsidRPr="004F197F">
              <w:rPr>
                <w:rFonts w:cstheme="majorHAnsi"/>
                <w:sz w:val="18"/>
                <w:szCs w:val="18"/>
                <w:lang w:val="el-GR"/>
              </w:rPr>
              <w:t>278</w:t>
            </w:r>
            <w:r w:rsidRPr="004F197F">
              <w:rPr>
                <w:rFonts w:cstheme="majorHAnsi"/>
                <w:sz w:val="18"/>
                <w:szCs w:val="18"/>
                <w:lang w:val="el-GR"/>
              </w:rPr>
              <w:t>)</w:t>
            </w:r>
          </w:p>
        </w:tc>
        <w:tc>
          <w:tcPr>
            <w:tcW w:w="956" w:type="dxa"/>
            <w:tcBorders>
              <w:righ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3A48E0" w:rsidRPr="004F197F" w:rsidRDefault="003A48E0" w:rsidP="00DD7437">
            <w:pPr>
              <w:pStyle w:val="11TableP"/>
              <w:jc w:val="right"/>
              <w:rPr>
                <w:rFonts w:cstheme="majorHAnsi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sz w:val="18"/>
                <w:szCs w:val="18"/>
                <w:lang w:val="el-GR"/>
              </w:rPr>
              <w:t>(1</w:t>
            </w:r>
            <w:r w:rsidR="00DD7437" w:rsidRPr="004F197F">
              <w:rPr>
                <w:rFonts w:cstheme="majorHAnsi"/>
                <w:sz w:val="18"/>
                <w:szCs w:val="18"/>
                <w:lang w:val="el-GR"/>
              </w:rPr>
              <w:t>6</w:t>
            </w:r>
            <w:r w:rsidRPr="004F197F">
              <w:rPr>
                <w:rFonts w:cstheme="majorHAnsi"/>
                <w:sz w:val="18"/>
                <w:szCs w:val="18"/>
                <w:lang w:val="el-GR"/>
              </w:rPr>
              <w:t>7)</w:t>
            </w:r>
          </w:p>
        </w:tc>
        <w:tc>
          <w:tcPr>
            <w:tcW w:w="955" w:type="dxa"/>
            <w:tcBorders>
              <w:lef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3A48E0" w:rsidRPr="004F197F" w:rsidRDefault="003A48E0" w:rsidP="00DD7437">
            <w:pPr>
              <w:pStyle w:val="11TableP"/>
              <w:jc w:val="right"/>
              <w:rPr>
                <w:rFonts w:cstheme="majorHAnsi"/>
                <w:i/>
                <w:sz w:val="18"/>
                <w:szCs w:val="18"/>
              </w:rPr>
            </w:pPr>
            <w:r w:rsidRPr="004F197F">
              <w:rPr>
                <w:rFonts w:cstheme="majorHAnsi"/>
                <w:i/>
                <w:sz w:val="18"/>
                <w:szCs w:val="18"/>
              </w:rPr>
              <w:t>-</w:t>
            </w:r>
            <w:r w:rsidR="00DD7437" w:rsidRPr="004F197F">
              <w:rPr>
                <w:rFonts w:cstheme="majorHAnsi"/>
                <w:i/>
                <w:sz w:val="18"/>
                <w:szCs w:val="18"/>
                <w:lang w:val="el-GR"/>
              </w:rPr>
              <w:t>42</w:t>
            </w:r>
            <w:r w:rsidRPr="004F197F">
              <w:rPr>
                <w:rFonts w:cstheme="majorHAnsi"/>
                <w:i/>
                <w:sz w:val="18"/>
                <w:szCs w:val="18"/>
              </w:rPr>
              <w:t>%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3A48E0" w:rsidRPr="004F197F" w:rsidRDefault="003A48E0" w:rsidP="00DD7437">
            <w:pPr>
              <w:pStyle w:val="11TableP"/>
              <w:jc w:val="right"/>
              <w:rPr>
                <w:rFonts w:cstheme="majorHAnsi"/>
                <w:i/>
                <w:sz w:val="18"/>
                <w:szCs w:val="18"/>
              </w:rPr>
            </w:pPr>
            <w:r w:rsidRPr="004F197F">
              <w:rPr>
                <w:rFonts w:cstheme="majorHAnsi"/>
                <w:i/>
                <w:sz w:val="18"/>
                <w:szCs w:val="18"/>
              </w:rPr>
              <w:t>-</w:t>
            </w:r>
            <w:r w:rsidR="00DD7437" w:rsidRPr="004F197F">
              <w:rPr>
                <w:rFonts w:cstheme="majorHAnsi"/>
                <w:i/>
                <w:sz w:val="18"/>
                <w:szCs w:val="18"/>
                <w:lang w:val="el-GR"/>
              </w:rPr>
              <w:t>4</w:t>
            </w:r>
            <w:r w:rsidRPr="004F197F">
              <w:rPr>
                <w:rFonts w:cstheme="majorHAnsi"/>
                <w:i/>
                <w:sz w:val="18"/>
                <w:szCs w:val="18"/>
              </w:rPr>
              <w:t>%</w:t>
            </w:r>
          </w:p>
        </w:tc>
      </w:tr>
      <w:tr w:rsidR="003A48E0" w:rsidRPr="004F197F" w:rsidTr="00D55D34">
        <w:trPr>
          <w:trHeight w:val="260"/>
        </w:trPr>
        <w:tc>
          <w:tcPr>
            <w:tcW w:w="3463" w:type="dxa"/>
            <w:shd w:val="clear" w:color="auto" w:fill="FFFFFF" w:themeFill="background1"/>
            <w:tcMar>
              <w:right w:w="113" w:type="dxa"/>
            </w:tcMar>
            <w:vAlign w:val="center"/>
          </w:tcPr>
          <w:p w:rsidR="003A48E0" w:rsidRPr="004F197F" w:rsidRDefault="003A48E0" w:rsidP="003A48E0">
            <w:pPr>
              <w:pStyle w:val="11TableP"/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  <w:t>Γενικά Διοικητικά Έξοδα</w:t>
            </w:r>
          </w:p>
        </w:tc>
        <w:tc>
          <w:tcPr>
            <w:tcW w:w="955" w:type="dxa"/>
            <w:tcBorders>
              <w:top w:val="nil"/>
              <w:left w:val="single" w:sz="4" w:space="0" w:color="909090" w:themeColor="accent3" w:themeTint="99"/>
              <w:bottom w:val="nil"/>
            </w:tcBorders>
            <w:shd w:val="clear" w:color="auto" w:fill="FFFFFF" w:themeFill="background1"/>
            <w:vAlign w:val="center"/>
          </w:tcPr>
          <w:p w:rsidR="003A48E0" w:rsidRPr="004F197F" w:rsidRDefault="003A48E0" w:rsidP="006654F1">
            <w:pPr>
              <w:pStyle w:val="11TableP"/>
              <w:jc w:val="right"/>
              <w:rPr>
                <w:rFonts w:cstheme="majorHAnsi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sz w:val="18"/>
                <w:szCs w:val="18"/>
                <w:lang w:val="el-GR"/>
              </w:rPr>
              <w:t>(1</w:t>
            </w:r>
            <w:r w:rsidR="006654F1" w:rsidRPr="004F197F">
              <w:rPr>
                <w:rFonts w:cstheme="majorHAnsi"/>
                <w:sz w:val="18"/>
                <w:szCs w:val="18"/>
                <w:lang w:val="el-GR"/>
              </w:rPr>
              <w:t>31</w:t>
            </w:r>
            <w:r w:rsidRPr="004F197F">
              <w:rPr>
                <w:rFonts w:cstheme="majorHAnsi"/>
                <w:sz w:val="18"/>
                <w:szCs w:val="18"/>
                <w:lang w:val="el-GR"/>
              </w:rPr>
              <w:t>)</w:t>
            </w:r>
          </w:p>
        </w:tc>
        <w:tc>
          <w:tcPr>
            <w:tcW w:w="955" w:type="dxa"/>
            <w:tcBorders>
              <w:top w:val="nil"/>
              <w:left w:val="single" w:sz="4" w:space="0" w:color="909090" w:themeColor="accent3" w:themeTint="99"/>
              <w:bottom w:val="nil"/>
            </w:tcBorders>
            <w:shd w:val="clear" w:color="auto" w:fill="FFFFFF" w:themeFill="background1"/>
            <w:vAlign w:val="center"/>
          </w:tcPr>
          <w:p w:rsidR="003A48E0" w:rsidRPr="004F197F" w:rsidRDefault="003A48E0" w:rsidP="00DD7437">
            <w:pPr>
              <w:pStyle w:val="11TableP"/>
              <w:jc w:val="right"/>
              <w:rPr>
                <w:rFonts w:cstheme="majorHAnsi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sz w:val="18"/>
                <w:szCs w:val="18"/>
                <w:lang w:val="el-GR"/>
              </w:rPr>
              <w:t>(1</w:t>
            </w:r>
            <w:r w:rsidR="00DD7437" w:rsidRPr="004F197F">
              <w:rPr>
                <w:rFonts w:cstheme="majorHAnsi"/>
                <w:sz w:val="18"/>
                <w:szCs w:val="18"/>
                <w:lang w:val="el-GR"/>
              </w:rPr>
              <w:t>86</w:t>
            </w:r>
            <w:r w:rsidRPr="004F197F">
              <w:rPr>
                <w:rFonts w:cstheme="majorHAnsi"/>
                <w:sz w:val="18"/>
                <w:szCs w:val="18"/>
                <w:lang w:val="el-GR"/>
              </w:rPr>
              <w:t>)</w:t>
            </w:r>
          </w:p>
        </w:tc>
        <w:tc>
          <w:tcPr>
            <w:tcW w:w="956" w:type="dxa"/>
            <w:tcBorders>
              <w:righ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3A48E0" w:rsidRPr="004F197F" w:rsidRDefault="003A48E0" w:rsidP="00DD7437">
            <w:pPr>
              <w:pStyle w:val="11TableP"/>
              <w:jc w:val="right"/>
              <w:rPr>
                <w:rFonts w:cstheme="majorHAnsi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sz w:val="18"/>
                <w:szCs w:val="18"/>
                <w:lang w:val="el-GR"/>
              </w:rPr>
              <w:t>(13</w:t>
            </w:r>
            <w:r w:rsidR="00DD7437" w:rsidRPr="004F197F">
              <w:rPr>
                <w:rFonts w:cstheme="majorHAnsi"/>
                <w:sz w:val="18"/>
                <w:szCs w:val="18"/>
                <w:lang w:val="el-GR"/>
              </w:rPr>
              <w:t>4</w:t>
            </w:r>
            <w:r w:rsidRPr="004F197F">
              <w:rPr>
                <w:rFonts w:cstheme="majorHAnsi"/>
                <w:sz w:val="18"/>
                <w:szCs w:val="18"/>
                <w:lang w:val="el-GR"/>
              </w:rPr>
              <w:t>)</w:t>
            </w:r>
          </w:p>
        </w:tc>
        <w:tc>
          <w:tcPr>
            <w:tcW w:w="955" w:type="dxa"/>
            <w:tcBorders>
              <w:lef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3A48E0" w:rsidRPr="004F197F" w:rsidRDefault="003A48E0" w:rsidP="00DD7437">
            <w:pPr>
              <w:pStyle w:val="11TableP"/>
              <w:jc w:val="right"/>
              <w:rPr>
                <w:rFonts w:cstheme="majorHAnsi"/>
                <w:i/>
                <w:sz w:val="18"/>
                <w:szCs w:val="18"/>
              </w:rPr>
            </w:pPr>
            <w:r w:rsidRPr="004F197F">
              <w:rPr>
                <w:rFonts w:cstheme="majorHAnsi"/>
                <w:i/>
                <w:sz w:val="18"/>
                <w:szCs w:val="18"/>
              </w:rPr>
              <w:t>-</w:t>
            </w:r>
            <w:r w:rsidR="00DD7437" w:rsidRPr="004F197F">
              <w:rPr>
                <w:rFonts w:cstheme="majorHAnsi"/>
                <w:i/>
                <w:sz w:val="18"/>
                <w:szCs w:val="18"/>
                <w:lang w:val="el-GR"/>
              </w:rPr>
              <w:t>30</w:t>
            </w:r>
            <w:r w:rsidRPr="004F197F">
              <w:rPr>
                <w:rFonts w:cstheme="majorHAnsi"/>
                <w:i/>
                <w:sz w:val="18"/>
                <w:szCs w:val="18"/>
              </w:rPr>
              <w:t>%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3A48E0" w:rsidRPr="004F197F" w:rsidRDefault="003A48E0" w:rsidP="00DD7437">
            <w:pPr>
              <w:pStyle w:val="11TableP"/>
              <w:jc w:val="right"/>
              <w:rPr>
                <w:rFonts w:cstheme="majorHAnsi"/>
                <w:i/>
                <w:sz w:val="18"/>
                <w:szCs w:val="18"/>
              </w:rPr>
            </w:pPr>
            <w:r w:rsidRPr="004F197F">
              <w:rPr>
                <w:rFonts w:cstheme="majorHAnsi"/>
                <w:i/>
                <w:sz w:val="18"/>
                <w:szCs w:val="18"/>
              </w:rPr>
              <w:t>-</w:t>
            </w:r>
            <w:r w:rsidR="00DD7437" w:rsidRPr="004F197F">
              <w:rPr>
                <w:rFonts w:cstheme="majorHAnsi"/>
                <w:i/>
                <w:sz w:val="18"/>
                <w:szCs w:val="18"/>
                <w:lang w:val="el-GR"/>
              </w:rPr>
              <w:t>2</w:t>
            </w:r>
            <w:r w:rsidRPr="004F197F">
              <w:rPr>
                <w:rFonts w:cstheme="majorHAnsi"/>
                <w:i/>
                <w:sz w:val="18"/>
                <w:szCs w:val="18"/>
              </w:rPr>
              <w:t>%</w:t>
            </w:r>
          </w:p>
        </w:tc>
      </w:tr>
      <w:tr w:rsidR="003A48E0" w:rsidRPr="004F197F" w:rsidTr="00D55D34">
        <w:trPr>
          <w:trHeight w:val="260"/>
        </w:trPr>
        <w:tc>
          <w:tcPr>
            <w:tcW w:w="3463" w:type="dxa"/>
            <w:shd w:val="clear" w:color="auto" w:fill="FFFFFF" w:themeFill="background1"/>
            <w:tcMar>
              <w:right w:w="113" w:type="dxa"/>
            </w:tcMar>
            <w:vAlign w:val="center"/>
          </w:tcPr>
          <w:p w:rsidR="003A48E0" w:rsidRPr="004F197F" w:rsidRDefault="003A48E0" w:rsidP="003A48E0">
            <w:pPr>
              <w:pStyle w:val="11TableP"/>
              <w:rPr>
                <w:rFonts w:cstheme="majorHAnsi"/>
                <w:color w:val="000000" w:themeColor="text1"/>
                <w:sz w:val="18"/>
                <w:szCs w:val="18"/>
              </w:rPr>
            </w:pPr>
            <w:proofErr w:type="spellStart"/>
            <w:r w:rsidRPr="004F197F"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  <w:t>Αποσβέσ</w:t>
            </w:r>
            <w:r w:rsidRPr="004F197F">
              <w:rPr>
                <w:rFonts w:cstheme="majorHAnsi"/>
                <w:color w:val="000000" w:themeColor="text1"/>
                <w:sz w:val="18"/>
                <w:szCs w:val="18"/>
              </w:rPr>
              <w:t>εις</w:t>
            </w:r>
            <w:proofErr w:type="spellEnd"/>
            <w:r w:rsidRPr="004F197F">
              <w:rPr>
                <w:rFonts w:cstheme="maj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single" w:sz="4" w:space="0" w:color="909090" w:themeColor="accent3" w:themeTint="99"/>
              <w:bottom w:val="nil"/>
            </w:tcBorders>
            <w:shd w:val="clear" w:color="auto" w:fill="FFFFFF" w:themeFill="background1"/>
            <w:vAlign w:val="center"/>
          </w:tcPr>
          <w:p w:rsidR="003A48E0" w:rsidRPr="004F197F" w:rsidRDefault="003A48E0" w:rsidP="006654F1">
            <w:pPr>
              <w:pStyle w:val="11TableP"/>
              <w:jc w:val="right"/>
              <w:rPr>
                <w:rFonts w:cstheme="majorHAnsi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sz w:val="18"/>
                <w:szCs w:val="18"/>
                <w:lang w:val="el-GR"/>
              </w:rPr>
              <w:t>(</w:t>
            </w:r>
            <w:r w:rsidR="00FB384A" w:rsidRPr="004F197F">
              <w:rPr>
                <w:rFonts w:cstheme="majorHAnsi"/>
                <w:sz w:val="18"/>
                <w:szCs w:val="18"/>
                <w:lang w:val="el-GR"/>
              </w:rPr>
              <w:t>2</w:t>
            </w:r>
            <w:r w:rsidR="006654F1" w:rsidRPr="004F197F">
              <w:rPr>
                <w:rFonts w:cstheme="majorHAnsi"/>
                <w:sz w:val="18"/>
                <w:szCs w:val="18"/>
                <w:lang w:val="el-GR"/>
              </w:rPr>
              <w:t>8</w:t>
            </w:r>
            <w:r w:rsidRPr="004F197F">
              <w:rPr>
                <w:rFonts w:cstheme="majorHAnsi"/>
                <w:sz w:val="18"/>
                <w:szCs w:val="18"/>
                <w:lang w:val="el-GR"/>
              </w:rPr>
              <w:t>)</w:t>
            </w:r>
          </w:p>
        </w:tc>
        <w:tc>
          <w:tcPr>
            <w:tcW w:w="955" w:type="dxa"/>
            <w:tcBorders>
              <w:top w:val="nil"/>
              <w:left w:val="single" w:sz="4" w:space="0" w:color="909090" w:themeColor="accent3" w:themeTint="99"/>
              <w:bottom w:val="nil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sz w:val="18"/>
                <w:szCs w:val="18"/>
                <w:lang w:val="el-GR"/>
              </w:rPr>
              <w:t>(29)</w:t>
            </w:r>
          </w:p>
        </w:tc>
        <w:tc>
          <w:tcPr>
            <w:tcW w:w="956" w:type="dxa"/>
            <w:tcBorders>
              <w:righ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3A48E0" w:rsidRPr="004F197F" w:rsidRDefault="003A48E0" w:rsidP="00DD7437">
            <w:pPr>
              <w:pStyle w:val="11TableP"/>
              <w:jc w:val="right"/>
              <w:rPr>
                <w:rFonts w:cstheme="majorHAnsi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sz w:val="18"/>
                <w:szCs w:val="18"/>
                <w:lang w:val="el-GR"/>
              </w:rPr>
              <w:t>(2</w:t>
            </w:r>
            <w:r w:rsidR="00DD7437" w:rsidRPr="004F197F">
              <w:rPr>
                <w:rFonts w:cstheme="majorHAnsi"/>
                <w:sz w:val="18"/>
                <w:szCs w:val="18"/>
                <w:lang w:val="el-GR"/>
              </w:rPr>
              <w:t>7</w:t>
            </w:r>
            <w:r w:rsidRPr="004F197F">
              <w:rPr>
                <w:rFonts w:cstheme="majorHAnsi"/>
                <w:sz w:val="18"/>
                <w:szCs w:val="18"/>
                <w:lang w:val="el-GR"/>
              </w:rPr>
              <w:t>)</w:t>
            </w:r>
          </w:p>
        </w:tc>
        <w:tc>
          <w:tcPr>
            <w:tcW w:w="955" w:type="dxa"/>
            <w:tcBorders>
              <w:lef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3A48E0" w:rsidRPr="004F197F" w:rsidRDefault="003A48E0" w:rsidP="00DD7437">
            <w:pPr>
              <w:pStyle w:val="11TableP"/>
              <w:jc w:val="right"/>
              <w:rPr>
                <w:rFonts w:cstheme="majorHAnsi"/>
                <w:i/>
                <w:sz w:val="18"/>
                <w:szCs w:val="18"/>
              </w:rPr>
            </w:pPr>
            <w:r w:rsidRPr="004F197F">
              <w:rPr>
                <w:rFonts w:cstheme="majorHAnsi"/>
                <w:i/>
                <w:sz w:val="18"/>
                <w:szCs w:val="18"/>
              </w:rPr>
              <w:t>-</w:t>
            </w:r>
            <w:r w:rsidR="00DD7437" w:rsidRPr="004F197F">
              <w:rPr>
                <w:rFonts w:cstheme="majorHAnsi"/>
                <w:i/>
                <w:sz w:val="18"/>
                <w:szCs w:val="18"/>
                <w:lang w:val="el-GR"/>
              </w:rPr>
              <w:t>6</w:t>
            </w:r>
            <w:r w:rsidRPr="004F197F">
              <w:rPr>
                <w:rFonts w:cstheme="majorHAnsi"/>
                <w:i/>
                <w:sz w:val="18"/>
                <w:szCs w:val="18"/>
              </w:rPr>
              <w:t>%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3A48E0" w:rsidRPr="004F197F" w:rsidRDefault="00DD7437" w:rsidP="00597FF5">
            <w:pPr>
              <w:pStyle w:val="11TableP"/>
              <w:jc w:val="right"/>
              <w:rPr>
                <w:rFonts w:cstheme="majorHAnsi"/>
                <w:i/>
                <w:sz w:val="18"/>
                <w:szCs w:val="18"/>
              </w:rPr>
            </w:pPr>
            <w:r w:rsidRPr="004F197F">
              <w:rPr>
                <w:rFonts w:cstheme="majorHAnsi"/>
                <w:i/>
                <w:sz w:val="18"/>
                <w:szCs w:val="18"/>
                <w:lang w:val="el-GR"/>
              </w:rPr>
              <w:t>1</w:t>
            </w:r>
            <w:r w:rsidR="003A48E0" w:rsidRPr="004F197F">
              <w:rPr>
                <w:rFonts w:cstheme="majorHAnsi"/>
                <w:i/>
                <w:sz w:val="18"/>
                <w:szCs w:val="18"/>
              </w:rPr>
              <w:t>%</w:t>
            </w:r>
          </w:p>
        </w:tc>
      </w:tr>
      <w:tr w:rsidR="003A48E0" w:rsidRPr="004F197F" w:rsidTr="00D55D34">
        <w:trPr>
          <w:trHeight w:val="260"/>
        </w:trPr>
        <w:tc>
          <w:tcPr>
            <w:tcW w:w="3463" w:type="dxa"/>
            <w:shd w:val="clear" w:color="auto" w:fill="FFFFFF" w:themeFill="background1"/>
            <w:tcMar>
              <w:right w:w="113" w:type="dxa"/>
            </w:tcMar>
            <w:vAlign w:val="center"/>
          </w:tcPr>
          <w:p w:rsidR="003A48E0" w:rsidRPr="004F197F" w:rsidRDefault="003A48E0" w:rsidP="003A48E0">
            <w:pPr>
              <w:pStyle w:val="10TableB"/>
              <w:rPr>
                <w:rFonts w:cstheme="majorHAnsi"/>
                <w:color w:val="000000" w:themeColor="text1"/>
                <w:sz w:val="18"/>
                <w:szCs w:val="18"/>
              </w:rPr>
            </w:pPr>
            <w:r w:rsidRPr="004F197F">
              <w:rPr>
                <w:rFonts w:cstheme="majorHAnsi"/>
                <w:color w:val="000000" w:themeColor="text1"/>
                <w:sz w:val="18"/>
                <w:szCs w:val="18"/>
              </w:rPr>
              <w:t>Σ</w:t>
            </w:r>
            <w:r w:rsidRPr="004F197F"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  <w:t>υ</w:t>
            </w:r>
            <w:proofErr w:type="spellStart"/>
            <w:r w:rsidRPr="004F197F">
              <w:rPr>
                <w:rFonts w:cstheme="majorHAnsi"/>
                <w:color w:val="000000" w:themeColor="text1"/>
                <w:sz w:val="18"/>
                <w:szCs w:val="18"/>
              </w:rPr>
              <w:t>νολ</w:t>
            </w:r>
            <w:r w:rsidRPr="004F197F"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  <w:t>ικό</w:t>
            </w:r>
            <w:proofErr w:type="spellEnd"/>
            <w:r w:rsidRPr="004F197F"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4F197F">
              <w:rPr>
                <w:rFonts w:cstheme="majorHAnsi"/>
                <w:color w:val="000000" w:themeColor="text1"/>
                <w:sz w:val="18"/>
                <w:szCs w:val="18"/>
              </w:rPr>
              <w:t>Λειτουργικ</w:t>
            </w:r>
            <w:proofErr w:type="spellEnd"/>
            <w:r w:rsidRPr="004F197F"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  <w:t>ό Κόστος</w:t>
            </w:r>
          </w:p>
        </w:tc>
        <w:tc>
          <w:tcPr>
            <w:tcW w:w="955" w:type="dxa"/>
            <w:tcBorders>
              <w:top w:val="nil"/>
              <w:left w:val="single" w:sz="4" w:space="0" w:color="909090" w:themeColor="accent3" w:themeTint="99"/>
              <w:bottom w:val="nil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0TableB"/>
              <w:jc w:val="right"/>
              <w:rPr>
                <w:rFonts w:cstheme="majorHAnsi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sz w:val="18"/>
                <w:szCs w:val="18"/>
                <w:lang w:val="el-GR"/>
              </w:rPr>
              <w:t>(318)</w:t>
            </w:r>
          </w:p>
        </w:tc>
        <w:tc>
          <w:tcPr>
            <w:tcW w:w="955" w:type="dxa"/>
            <w:tcBorders>
              <w:top w:val="nil"/>
              <w:left w:val="single" w:sz="4" w:space="0" w:color="909090" w:themeColor="accent3" w:themeTint="99"/>
              <w:bottom w:val="nil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0TableB"/>
              <w:jc w:val="right"/>
              <w:rPr>
                <w:rFonts w:cstheme="majorHAnsi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sz w:val="18"/>
                <w:szCs w:val="18"/>
                <w:lang w:val="el-GR"/>
              </w:rPr>
              <w:t>(493)</w:t>
            </w:r>
          </w:p>
        </w:tc>
        <w:tc>
          <w:tcPr>
            <w:tcW w:w="956" w:type="dxa"/>
            <w:tcBorders>
              <w:righ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0TableB"/>
              <w:jc w:val="right"/>
              <w:rPr>
                <w:rFonts w:cstheme="majorHAnsi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sz w:val="18"/>
                <w:szCs w:val="18"/>
                <w:lang w:val="el-GR"/>
              </w:rPr>
              <w:t>(328)</w:t>
            </w:r>
          </w:p>
        </w:tc>
        <w:tc>
          <w:tcPr>
            <w:tcW w:w="955" w:type="dxa"/>
            <w:tcBorders>
              <w:lef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b/>
                <w:i/>
                <w:sz w:val="18"/>
                <w:szCs w:val="18"/>
              </w:rPr>
            </w:pPr>
            <w:r w:rsidRPr="004F197F">
              <w:rPr>
                <w:rFonts w:cstheme="majorHAnsi"/>
                <w:b/>
                <w:i/>
                <w:sz w:val="18"/>
                <w:szCs w:val="18"/>
              </w:rPr>
              <w:t>-35%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0TableB"/>
              <w:jc w:val="right"/>
              <w:rPr>
                <w:rFonts w:cstheme="majorHAnsi"/>
                <w:i/>
                <w:sz w:val="18"/>
                <w:szCs w:val="18"/>
              </w:rPr>
            </w:pPr>
            <w:r w:rsidRPr="004F197F">
              <w:rPr>
                <w:rFonts w:cstheme="majorHAnsi"/>
                <w:i/>
                <w:sz w:val="18"/>
                <w:szCs w:val="18"/>
              </w:rPr>
              <w:t>-3%</w:t>
            </w:r>
          </w:p>
        </w:tc>
      </w:tr>
      <w:tr w:rsidR="003A48E0" w:rsidRPr="004F197F" w:rsidTr="00D55D34">
        <w:trPr>
          <w:trHeight w:val="260"/>
        </w:trPr>
        <w:tc>
          <w:tcPr>
            <w:tcW w:w="3463" w:type="dxa"/>
            <w:shd w:val="clear" w:color="auto" w:fill="FFFFFF" w:themeFill="background1"/>
            <w:tcMar>
              <w:right w:w="113" w:type="dxa"/>
            </w:tcMar>
            <w:vAlign w:val="center"/>
          </w:tcPr>
          <w:p w:rsidR="003A48E0" w:rsidRPr="004F197F" w:rsidRDefault="003A48E0" w:rsidP="00471476">
            <w:pPr>
              <w:tabs>
                <w:tab w:val="left" w:pos="284"/>
              </w:tabs>
              <w:spacing w:after="0"/>
              <w:rPr>
                <w:rFonts w:asciiTheme="majorHAnsi" w:hAnsiTheme="majorHAnsi" w:cs="Calibri"/>
                <w:b/>
                <w:i/>
                <w:color w:val="81AAD5" w:themeColor="accent1" w:themeTint="99"/>
                <w:sz w:val="18"/>
                <w:szCs w:val="18"/>
                <w:lang w:val="en-US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909090" w:themeColor="accent3" w:themeTint="99"/>
              <w:bottom w:val="nil"/>
            </w:tcBorders>
            <w:shd w:val="clear" w:color="auto" w:fill="FFFFFF" w:themeFill="background1"/>
            <w:vAlign w:val="center"/>
          </w:tcPr>
          <w:p w:rsidR="003A48E0" w:rsidRPr="004F197F" w:rsidRDefault="003A48E0" w:rsidP="00FB384A">
            <w:pPr>
              <w:tabs>
                <w:tab w:val="left" w:pos="284"/>
              </w:tabs>
              <w:spacing w:after="0"/>
              <w:jc w:val="right"/>
              <w:rPr>
                <w:rFonts w:asciiTheme="majorHAnsi" w:hAnsiTheme="majorHAnsi" w:cs="Calibri"/>
                <w:b/>
                <w:i/>
                <w:color w:val="81AAD5" w:themeColor="accent1" w:themeTint="99"/>
                <w:sz w:val="18"/>
                <w:szCs w:val="18"/>
                <w:lang w:val="en-US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909090" w:themeColor="accent3" w:themeTint="99"/>
              <w:bottom w:val="nil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tabs>
                <w:tab w:val="left" w:pos="284"/>
              </w:tabs>
              <w:spacing w:after="0"/>
              <w:jc w:val="right"/>
              <w:rPr>
                <w:rFonts w:asciiTheme="majorHAnsi" w:hAnsiTheme="majorHAnsi" w:cs="Calibri"/>
                <w:b/>
                <w:i/>
                <w:color w:val="81AAD5" w:themeColor="accent1" w:themeTint="99"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tcBorders>
              <w:righ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tabs>
                <w:tab w:val="left" w:pos="284"/>
              </w:tabs>
              <w:spacing w:after="0"/>
              <w:jc w:val="right"/>
              <w:rPr>
                <w:rFonts w:asciiTheme="majorHAnsi" w:hAnsiTheme="majorHAnsi" w:cs="Calibri"/>
                <w:b/>
                <w:i/>
                <w:color w:val="81AAD5" w:themeColor="accent1" w:themeTint="99"/>
                <w:sz w:val="18"/>
                <w:szCs w:val="18"/>
                <w:lang w:val="en-US"/>
              </w:rPr>
            </w:pPr>
          </w:p>
        </w:tc>
        <w:tc>
          <w:tcPr>
            <w:tcW w:w="955" w:type="dxa"/>
            <w:tcBorders>
              <w:lef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3A48E0" w:rsidRPr="004F197F" w:rsidRDefault="003A48E0" w:rsidP="00A93CEE">
            <w:pPr>
              <w:tabs>
                <w:tab w:val="left" w:pos="284"/>
              </w:tabs>
              <w:spacing w:after="0"/>
              <w:jc w:val="right"/>
              <w:rPr>
                <w:rFonts w:asciiTheme="majorHAnsi" w:hAnsiTheme="majorHAnsi" w:cs="Calibri"/>
                <w:b/>
                <w:i/>
                <w:color w:val="81AAD5" w:themeColor="accent1" w:themeTint="99"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3A48E0" w:rsidRPr="004F197F" w:rsidRDefault="003A48E0" w:rsidP="00A93CEE">
            <w:pPr>
              <w:tabs>
                <w:tab w:val="left" w:pos="284"/>
              </w:tabs>
              <w:spacing w:after="0"/>
              <w:jc w:val="right"/>
              <w:rPr>
                <w:rFonts w:asciiTheme="majorHAnsi" w:hAnsiTheme="majorHAnsi" w:cs="Calibri"/>
                <w:b/>
                <w:i/>
                <w:color w:val="81AAD5" w:themeColor="accent1" w:themeTint="99"/>
                <w:sz w:val="18"/>
                <w:szCs w:val="18"/>
                <w:lang w:val="en-US"/>
              </w:rPr>
            </w:pPr>
          </w:p>
        </w:tc>
      </w:tr>
      <w:tr w:rsidR="003A48E0" w:rsidRPr="004F197F" w:rsidTr="00D55D34">
        <w:trPr>
          <w:trHeight w:val="260"/>
        </w:trPr>
        <w:tc>
          <w:tcPr>
            <w:tcW w:w="3463" w:type="dxa"/>
            <w:shd w:val="clear" w:color="auto" w:fill="FFFFFF" w:themeFill="background1"/>
            <w:tcMar>
              <w:right w:w="113" w:type="dxa"/>
            </w:tcMar>
            <w:vAlign w:val="center"/>
          </w:tcPr>
          <w:p w:rsidR="003A48E0" w:rsidRPr="004F197F" w:rsidRDefault="003A48E0" w:rsidP="003A48E0">
            <w:pPr>
              <w:pStyle w:val="10TableB"/>
              <w:ind w:right="-255"/>
              <w:rPr>
                <w:rFonts w:cstheme="majorHAnsi"/>
                <w:b w:val="0"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955" w:type="dxa"/>
            <w:tcBorders>
              <w:top w:val="nil"/>
              <w:bottom w:val="nil"/>
              <w:right w:val="single" w:sz="6" w:space="0" w:color="E0CBA4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0TableB"/>
              <w:jc w:val="right"/>
              <w:rPr>
                <w:rFonts w:cstheme="majorHAnsi"/>
                <w:sz w:val="18"/>
                <w:szCs w:val="18"/>
                <w:lang w:val="el-GR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E0CBA4"/>
              <w:bottom w:val="nil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0TableB"/>
              <w:jc w:val="right"/>
              <w:rPr>
                <w:rFonts w:cstheme="majorHAnsi"/>
                <w:sz w:val="18"/>
                <w:szCs w:val="18"/>
                <w:lang w:val="el-GR"/>
              </w:rPr>
            </w:pPr>
          </w:p>
        </w:tc>
        <w:tc>
          <w:tcPr>
            <w:tcW w:w="956" w:type="dxa"/>
            <w:tcBorders>
              <w:righ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0TableB"/>
              <w:jc w:val="right"/>
              <w:rPr>
                <w:rFonts w:cstheme="majorHAnsi"/>
                <w:sz w:val="18"/>
                <w:szCs w:val="18"/>
                <w:lang w:val="el-GR"/>
              </w:rPr>
            </w:pPr>
          </w:p>
        </w:tc>
        <w:tc>
          <w:tcPr>
            <w:tcW w:w="955" w:type="dxa"/>
            <w:tcBorders>
              <w:lef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i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0TableB"/>
              <w:jc w:val="right"/>
              <w:rPr>
                <w:rFonts w:cstheme="majorHAnsi"/>
                <w:i/>
                <w:sz w:val="18"/>
                <w:szCs w:val="18"/>
                <w:lang w:val="el-GR"/>
              </w:rPr>
            </w:pPr>
          </w:p>
        </w:tc>
      </w:tr>
      <w:tr w:rsidR="003A48E0" w:rsidRPr="004F197F" w:rsidTr="00D55D34">
        <w:trPr>
          <w:trHeight w:val="260"/>
        </w:trPr>
        <w:tc>
          <w:tcPr>
            <w:tcW w:w="3463" w:type="dxa"/>
            <w:shd w:val="clear" w:color="auto" w:fill="FFFFFF" w:themeFill="background1"/>
            <w:tcMar>
              <w:right w:w="113" w:type="dxa"/>
            </w:tcMar>
            <w:vAlign w:val="center"/>
          </w:tcPr>
          <w:p w:rsidR="003A48E0" w:rsidRPr="004F197F" w:rsidRDefault="003A48E0" w:rsidP="003A48E0">
            <w:pPr>
              <w:pStyle w:val="10TableB"/>
              <w:ind w:right="-255"/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  <w:t>Κέρδη Προ Φόρων &amp; Προβλέψεων (ΚΠΦΠ)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6" w:space="0" w:color="E0CBA4"/>
            </w:tcBorders>
            <w:shd w:val="clear" w:color="auto" w:fill="FFFFFF" w:themeFill="background1"/>
            <w:vAlign w:val="center"/>
          </w:tcPr>
          <w:p w:rsidR="003A48E0" w:rsidRPr="004F197F" w:rsidRDefault="00FB384A" w:rsidP="00FB384A">
            <w:pPr>
              <w:pStyle w:val="10TableB"/>
              <w:jc w:val="right"/>
              <w:rPr>
                <w:rFonts w:cstheme="majorHAnsi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sz w:val="18"/>
                <w:szCs w:val="18"/>
              </w:rPr>
              <w:t>26</w:t>
            </w:r>
            <w:r w:rsidRPr="004F197F">
              <w:rPr>
                <w:rFonts w:cstheme="majorHAnsi"/>
                <w:sz w:val="18"/>
                <w:szCs w:val="18"/>
                <w:lang w:val="el-GR"/>
              </w:rPr>
              <w:t>3</w:t>
            </w:r>
          </w:p>
        </w:tc>
        <w:tc>
          <w:tcPr>
            <w:tcW w:w="955" w:type="dxa"/>
            <w:tcBorders>
              <w:top w:val="nil"/>
              <w:left w:val="single" w:sz="6" w:space="0" w:color="E0CBA4"/>
              <w:bottom w:val="nil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0TableB"/>
              <w:jc w:val="right"/>
              <w:rPr>
                <w:rFonts w:cstheme="majorHAnsi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sz w:val="18"/>
                <w:szCs w:val="18"/>
                <w:lang w:val="el-GR"/>
              </w:rPr>
              <w:t>112</w:t>
            </w:r>
          </w:p>
        </w:tc>
        <w:tc>
          <w:tcPr>
            <w:tcW w:w="956" w:type="dxa"/>
            <w:tcBorders>
              <w:righ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0TableB"/>
              <w:jc w:val="right"/>
              <w:rPr>
                <w:rFonts w:cstheme="majorHAnsi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sz w:val="18"/>
                <w:szCs w:val="18"/>
                <w:lang w:val="el-GR"/>
              </w:rPr>
              <w:t>242</w:t>
            </w:r>
          </w:p>
        </w:tc>
        <w:tc>
          <w:tcPr>
            <w:tcW w:w="955" w:type="dxa"/>
            <w:tcBorders>
              <w:lef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b/>
                <w:i/>
                <w:sz w:val="18"/>
                <w:szCs w:val="18"/>
              </w:rPr>
            </w:pPr>
            <w:r w:rsidRPr="004F197F">
              <w:rPr>
                <w:rFonts w:cstheme="majorHAnsi"/>
                <w:b/>
                <w:i/>
                <w:sz w:val="18"/>
                <w:szCs w:val="18"/>
              </w:rPr>
              <w:t>&gt;100%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0TableB"/>
              <w:jc w:val="right"/>
              <w:rPr>
                <w:rFonts w:cstheme="majorHAnsi"/>
                <w:i/>
                <w:sz w:val="18"/>
                <w:szCs w:val="18"/>
              </w:rPr>
            </w:pPr>
            <w:r w:rsidRPr="004F197F">
              <w:rPr>
                <w:rFonts w:cstheme="majorHAnsi"/>
                <w:i/>
                <w:sz w:val="18"/>
                <w:szCs w:val="18"/>
              </w:rPr>
              <w:t>9%</w:t>
            </w:r>
          </w:p>
        </w:tc>
      </w:tr>
      <w:tr w:rsidR="003A48E0" w:rsidRPr="004F197F" w:rsidTr="00D55D34">
        <w:trPr>
          <w:trHeight w:val="260"/>
        </w:trPr>
        <w:tc>
          <w:tcPr>
            <w:tcW w:w="3463" w:type="dxa"/>
            <w:shd w:val="clear" w:color="auto" w:fill="FFFFFF" w:themeFill="background1"/>
            <w:tcMar>
              <w:right w:w="113" w:type="dxa"/>
            </w:tcMar>
            <w:vAlign w:val="center"/>
          </w:tcPr>
          <w:p w:rsidR="003A48E0" w:rsidRPr="004F197F" w:rsidRDefault="003A48E0" w:rsidP="00471476">
            <w:pPr>
              <w:tabs>
                <w:tab w:val="left" w:pos="284"/>
              </w:tabs>
              <w:spacing w:after="0"/>
              <w:rPr>
                <w:rFonts w:asciiTheme="majorHAnsi" w:hAnsiTheme="majorHAnsi" w:cs="Calibri"/>
                <w:b/>
                <w:i/>
                <w:color w:val="81AAD5" w:themeColor="accent1" w:themeTint="99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bottom w:val="nil"/>
              <w:right w:val="single" w:sz="6" w:space="0" w:color="E0CBA4"/>
            </w:tcBorders>
            <w:shd w:val="clear" w:color="auto" w:fill="FFFFFF" w:themeFill="background1"/>
            <w:vAlign w:val="center"/>
          </w:tcPr>
          <w:p w:rsidR="003A48E0" w:rsidRPr="004F197F" w:rsidRDefault="003A48E0" w:rsidP="00FB384A">
            <w:pPr>
              <w:tabs>
                <w:tab w:val="left" w:pos="284"/>
              </w:tabs>
              <w:spacing w:after="0"/>
              <w:jc w:val="right"/>
              <w:rPr>
                <w:rFonts w:asciiTheme="majorHAnsi" w:hAnsiTheme="majorHAnsi" w:cs="Calibri"/>
                <w:b/>
                <w:i/>
                <w:color w:val="81AAD5" w:themeColor="accent1" w:themeTint="99"/>
                <w:sz w:val="18"/>
                <w:szCs w:val="18"/>
                <w:lang w:val="en-US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E0CBA4"/>
              <w:bottom w:val="nil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tabs>
                <w:tab w:val="left" w:pos="284"/>
              </w:tabs>
              <w:spacing w:after="0"/>
              <w:jc w:val="right"/>
              <w:rPr>
                <w:rFonts w:asciiTheme="majorHAnsi" w:hAnsiTheme="majorHAnsi" w:cs="Calibri"/>
                <w:b/>
                <w:i/>
                <w:color w:val="81AAD5" w:themeColor="accent1" w:themeTint="99"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tcBorders>
              <w:righ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tabs>
                <w:tab w:val="left" w:pos="284"/>
              </w:tabs>
              <w:spacing w:after="0"/>
              <w:jc w:val="right"/>
              <w:rPr>
                <w:rFonts w:asciiTheme="majorHAnsi" w:hAnsiTheme="majorHAnsi" w:cs="Calibri"/>
                <w:b/>
                <w:i/>
                <w:color w:val="81AAD5" w:themeColor="accent1" w:themeTint="99"/>
                <w:sz w:val="18"/>
                <w:szCs w:val="18"/>
                <w:lang w:val="en-US"/>
              </w:rPr>
            </w:pPr>
          </w:p>
        </w:tc>
        <w:tc>
          <w:tcPr>
            <w:tcW w:w="955" w:type="dxa"/>
            <w:tcBorders>
              <w:lef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3A48E0" w:rsidRPr="004F197F" w:rsidRDefault="003A48E0" w:rsidP="00FB384A">
            <w:pPr>
              <w:tabs>
                <w:tab w:val="left" w:pos="284"/>
              </w:tabs>
              <w:spacing w:after="0"/>
              <w:jc w:val="right"/>
              <w:rPr>
                <w:rFonts w:asciiTheme="majorHAnsi" w:hAnsiTheme="majorHAnsi" w:cs="Calibri"/>
                <w:b/>
                <w:i/>
                <w:color w:val="81AAD5" w:themeColor="accent1" w:themeTint="99"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tabs>
                <w:tab w:val="left" w:pos="284"/>
              </w:tabs>
              <w:spacing w:after="0"/>
              <w:jc w:val="right"/>
              <w:rPr>
                <w:rFonts w:asciiTheme="majorHAnsi" w:hAnsiTheme="majorHAnsi" w:cs="Calibri"/>
                <w:b/>
                <w:i/>
                <w:color w:val="81AAD5" w:themeColor="accent1" w:themeTint="99"/>
                <w:sz w:val="18"/>
                <w:szCs w:val="18"/>
                <w:lang w:val="en-US"/>
              </w:rPr>
            </w:pPr>
          </w:p>
        </w:tc>
      </w:tr>
      <w:tr w:rsidR="003A48E0" w:rsidRPr="004F197F" w:rsidTr="00D55D34">
        <w:trPr>
          <w:trHeight w:val="377"/>
        </w:trPr>
        <w:tc>
          <w:tcPr>
            <w:tcW w:w="3463" w:type="dxa"/>
            <w:shd w:val="clear" w:color="auto" w:fill="FFFFFF" w:themeFill="background1"/>
            <w:tcMar>
              <w:right w:w="113" w:type="dxa"/>
            </w:tcMar>
            <w:vAlign w:val="bottom"/>
          </w:tcPr>
          <w:p w:rsidR="003A48E0" w:rsidRPr="004F197F" w:rsidRDefault="003A48E0" w:rsidP="003A48E0">
            <w:pPr>
              <w:pStyle w:val="11TableP"/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</w:pPr>
            <w:proofErr w:type="spellStart"/>
            <w:r w:rsidRPr="004F197F"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  <w:t>Απομείωση</w:t>
            </w:r>
            <w:proofErr w:type="spellEnd"/>
            <w:r w:rsidRPr="004F197F"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  <w:t xml:space="preserve"> Αξίας Δανείων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6" w:space="0" w:color="E0CBA4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sz w:val="18"/>
                <w:szCs w:val="18"/>
              </w:rPr>
            </w:pPr>
            <w:r w:rsidRPr="004F197F">
              <w:rPr>
                <w:rFonts w:cstheme="majorHAnsi"/>
                <w:sz w:val="18"/>
                <w:szCs w:val="18"/>
              </w:rPr>
              <w:t>(289)</w:t>
            </w:r>
          </w:p>
        </w:tc>
        <w:tc>
          <w:tcPr>
            <w:tcW w:w="955" w:type="dxa"/>
            <w:tcBorders>
              <w:top w:val="nil"/>
              <w:left w:val="single" w:sz="6" w:space="0" w:color="E0CBA4"/>
              <w:bottom w:val="nil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sz w:val="18"/>
                <w:szCs w:val="18"/>
                <w:lang w:val="el-GR"/>
              </w:rPr>
              <w:t>(1.384)</w:t>
            </w:r>
          </w:p>
        </w:tc>
        <w:tc>
          <w:tcPr>
            <w:tcW w:w="956" w:type="dxa"/>
            <w:tcBorders>
              <w:righ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sz w:val="18"/>
                <w:szCs w:val="18"/>
                <w:lang w:val="el-GR"/>
              </w:rPr>
              <w:t>(271)</w:t>
            </w:r>
          </w:p>
        </w:tc>
        <w:tc>
          <w:tcPr>
            <w:tcW w:w="955" w:type="dxa"/>
            <w:tcBorders>
              <w:lef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i/>
                <w:sz w:val="18"/>
                <w:szCs w:val="18"/>
              </w:rPr>
            </w:pPr>
            <w:r w:rsidRPr="004F197F">
              <w:rPr>
                <w:rFonts w:cstheme="majorHAnsi"/>
                <w:i/>
                <w:sz w:val="18"/>
                <w:szCs w:val="18"/>
              </w:rPr>
              <w:t>-79%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i/>
                <w:sz w:val="18"/>
                <w:szCs w:val="18"/>
              </w:rPr>
            </w:pPr>
            <w:r w:rsidRPr="004F197F">
              <w:rPr>
                <w:rFonts w:cstheme="majorHAnsi"/>
                <w:i/>
                <w:sz w:val="18"/>
                <w:szCs w:val="18"/>
              </w:rPr>
              <w:t>7%</w:t>
            </w:r>
          </w:p>
        </w:tc>
      </w:tr>
      <w:tr w:rsidR="003A48E0" w:rsidRPr="004F197F" w:rsidTr="00D55D34">
        <w:trPr>
          <w:trHeight w:val="260"/>
        </w:trPr>
        <w:tc>
          <w:tcPr>
            <w:tcW w:w="3463" w:type="dxa"/>
            <w:shd w:val="clear" w:color="auto" w:fill="FFFFFF" w:themeFill="background1"/>
            <w:tcMar>
              <w:right w:w="113" w:type="dxa"/>
            </w:tcMar>
            <w:vAlign w:val="center"/>
          </w:tcPr>
          <w:p w:rsidR="003A48E0" w:rsidRPr="004F197F" w:rsidRDefault="003A48E0" w:rsidP="003A48E0">
            <w:pPr>
              <w:pStyle w:val="11TableP"/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</w:pPr>
            <w:proofErr w:type="spellStart"/>
            <w:r w:rsidRPr="004F197F"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  <w:t>Απομείωση</w:t>
            </w:r>
            <w:proofErr w:type="spellEnd"/>
            <w:r w:rsidRPr="004F197F"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  <w:t xml:space="preserve"> Λοιπών Στοιχείων Ενεργητικού</w:t>
            </w:r>
          </w:p>
          <w:p w:rsidR="003A48E0" w:rsidRPr="004F197F" w:rsidRDefault="003A48E0" w:rsidP="003A48E0">
            <w:pPr>
              <w:pStyle w:val="11TableP"/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  <w:t>&amp; Λοιπές Προβλέψεις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6" w:space="0" w:color="E0CBA4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sz w:val="18"/>
                <w:szCs w:val="18"/>
              </w:rPr>
            </w:pPr>
            <w:r w:rsidRPr="004F197F">
              <w:rPr>
                <w:rFonts w:cstheme="majorHAnsi"/>
                <w:sz w:val="18"/>
                <w:szCs w:val="18"/>
              </w:rPr>
              <w:t>(12)</w:t>
            </w:r>
          </w:p>
        </w:tc>
        <w:tc>
          <w:tcPr>
            <w:tcW w:w="955" w:type="dxa"/>
            <w:tcBorders>
              <w:top w:val="nil"/>
              <w:left w:val="single" w:sz="6" w:space="0" w:color="E0CBA4"/>
              <w:bottom w:val="nil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sz w:val="18"/>
                <w:szCs w:val="18"/>
                <w:lang w:val="el-GR"/>
              </w:rPr>
              <w:t>(258)</w:t>
            </w:r>
          </w:p>
        </w:tc>
        <w:tc>
          <w:tcPr>
            <w:tcW w:w="956" w:type="dxa"/>
            <w:tcBorders>
              <w:righ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sz w:val="18"/>
                <w:szCs w:val="18"/>
                <w:lang w:val="el-GR"/>
              </w:rPr>
              <w:t>(10)</w:t>
            </w:r>
          </w:p>
        </w:tc>
        <w:tc>
          <w:tcPr>
            <w:tcW w:w="955" w:type="dxa"/>
            <w:tcBorders>
              <w:lef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i/>
                <w:sz w:val="18"/>
                <w:szCs w:val="18"/>
              </w:rPr>
            </w:pPr>
            <w:r w:rsidRPr="004F197F">
              <w:rPr>
                <w:rFonts w:cstheme="majorHAnsi"/>
                <w:i/>
                <w:sz w:val="18"/>
                <w:szCs w:val="18"/>
              </w:rPr>
              <w:t>-96%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3A48E0" w:rsidRPr="004F197F" w:rsidRDefault="003A48E0" w:rsidP="00597FF5">
            <w:pPr>
              <w:pStyle w:val="11TableP"/>
              <w:jc w:val="right"/>
              <w:rPr>
                <w:rFonts w:cstheme="majorHAnsi"/>
                <w:i/>
                <w:sz w:val="18"/>
                <w:szCs w:val="18"/>
              </w:rPr>
            </w:pPr>
            <w:r w:rsidRPr="004F197F">
              <w:rPr>
                <w:rFonts w:cstheme="majorHAnsi"/>
                <w:i/>
                <w:sz w:val="18"/>
                <w:szCs w:val="18"/>
              </w:rPr>
              <w:t>17%</w:t>
            </w:r>
          </w:p>
        </w:tc>
      </w:tr>
      <w:tr w:rsidR="00740AE5" w:rsidRPr="004F197F" w:rsidTr="00D55D34">
        <w:trPr>
          <w:trHeight w:val="260"/>
        </w:trPr>
        <w:tc>
          <w:tcPr>
            <w:tcW w:w="3463" w:type="dxa"/>
            <w:shd w:val="clear" w:color="auto" w:fill="FFFFFF" w:themeFill="background1"/>
            <w:tcMar>
              <w:right w:w="113" w:type="dxa"/>
            </w:tcMar>
            <w:vAlign w:val="center"/>
          </w:tcPr>
          <w:p w:rsidR="00740AE5" w:rsidRPr="004F197F" w:rsidRDefault="00740AE5" w:rsidP="003A48E0">
            <w:pPr>
              <w:pStyle w:val="11TableP"/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955" w:type="dxa"/>
            <w:tcBorders>
              <w:top w:val="nil"/>
              <w:bottom w:val="nil"/>
              <w:right w:val="single" w:sz="6" w:space="0" w:color="E0CBA4"/>
            </w:tcBorders>
            <w:shd w:val="clear" w:color="auto" w:fill="FFFFFF" w:themeFill="background1"/>
            <w:vAlign w:val="center"/>
          </w:tcPr>
          <w:p w:rsidR="00740AE5" w:rsidRPr="004F197F" w:rsidRDefault="00740AE5" w:rsidP="00597FF5">
            <w:pPr>
              <w:pStyle w:val="11TableP"/>
              <w:jc w:val="right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E0CBA4"/>
              <w:bottom w:val="nil"/>
            </w:tcBorders>
            <w:shd w:val="clear" w:color="auto" w:fill="FFFFFF" w:themeFill="background1"/>
            <w:vAlign w:val="center"/>
          </w:tcPr>
          <w:p w:rsidR="00740AE5" w:rsidRPr="004F197F" w:rsidRDefault="00740AE5" w:rsidP="00597FF5">
            <w:pPr>
              <w:pStyle w:val="11TableP"/>
              <w:jc w:val="right"/>
              <w:rPr>
                <w:rFonts w:cstheme="majorHAnsi"/>
                <w:sz w:val="18"/>
                <w:szCs w:val="18"/>
                <w:lang w:val="el-GR"/>
              </w:rPr>
            </w:pPr>
          </w:p>
        </w:tc>
        <w:tc>
          <w:tcPr>
            <w:tcW w:w="956" w:type="dxa"/>
            <w:tcBorders>
              <w:righ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740AE5" w:rsidRPr="004F197F" w:rsidRDefault="00740AE5" w:rsidP="00597FF5">
            <w:pPr>
              <w:pStyle w:val="11TableP"/>
              <w:jc w:val="right"/>
              <w:rPr>
                <w:rFonts w:cstheme="majorHAnsi"/>
                <w:sz w:val="18"/>
                <w:szCs w:val="18"/>
                <w:lang w:val="el-GR"/>
              </w:rPr>
            </w:pPr>
          </w:p>
        </w:tc>
        <w:tc>
          <w:tcPr>
            <w:tcW w:w="955" w:type="dxa"/>
            <w:tcBorders>
              <w:lef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740AE5" w:rsidRPr="004F197F" w:rsidRDefault="00740AE5" w:rsidP="00597FF5">
            <w:pPr>
              <w:pStyle w:val="11TableP"/>
              <w:jc w:val="right"/>
              <w:rPr>
                <w:rFonts w:cstheme="majorHAnsi"/>
                <w:i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740AE5" w:rsidRPr="004F197F" w:rsidRDefault="00740AE5" w:rsidP="00597FF5">
            <w:pPr>
              <w:pStyle w:val="11TableP"/>
              <w:jc w:val="right"/>
              <w:rPr>
                <w:rFonts w:cstheme="majorHAnsi"/>
                <w:i/>
                <w:sz w:val="18"/>
                <w:szCs w:val="18"/>
              </w:rPr>
            </w:pPr>
          </w:p>
        </w:tc>
      </w:tr>
      <w:tr w:rsidR="00740AE5" w:rsidRPr="004F197F" w:rsidTr="00D55D34">
        <w:trPr>
          <w:trHeight w:val="260"/>
        </w:trPr>
        <w:tc>
          <w:tcPr>
            <w:tcW w:w="3463" w:type="dxa"/>
            <w:shd w:val="clear" w:color="auto" w:fill="FFFFFF" w:themeFill="background1"/>
            <w:tcMar>
              <w:right w:w="113" w:type="dxa"/>
            </w:tcMar>
            <w:vAlign w:val="center"/>
          </w:tcPr>
          <w:p w:rsidR="00740AE5" w:rsidRPr="004F197F" w:rsidRDefault="00740AE5" w:rsidP="00740AE5">
            <w:pPr>
              <w:pStyle w:val="11TableP"/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  <w:t>Έσοδα Συμμετοχών σε Συγγενείς Εταιρείες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6" w:space="0" w:color="E0CBA4"/>
            </w:tcBorders>
            <w:shd w:val="clear" w:color="auto" w:fill="FFFFFF" w:themeFill="background1"/>
            <w:vAlign w:val="center"/>
          </w:tcPr>
          <w:p w:rsidR="00740AE5" w:rsidRPr="004F197F" w:rsidDel="005B246A" w:rsidRDefault="00740AE5" w:rsidP="00740AE5">
            <w:pPr>
              <w:pStyle w:val="11TableP"/>
              <w:jc w:val="right"/>
              <w:rPr>
                <w:rFonts w:cstheme="majorHAnsi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nil"/>
              <w:left w:val="single" w:sz="6" w:space="0" w:color="E0CBA4"/>
              <w:bottom w:val="nil"/>
            </w:tcBorders>
            <w:shd w:val="clear" w:color="auto" w:fill="FFFFFF" w:themeFill="background1"/>
            <w:vAlign w:val="center"/>
          </w:tcPr>
          <w:p w:rsidR="00740AE5" w:rsidRPr="004F197F" w:rsidDel="005B246A" w:rsidRDefault="00740AE5" w:rsidP="00740AE5">
            <w:pPr>
              <w:pStyle w:val="11TableP"/>
              <w:jc w:val="right"/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sz w:val="18"/>
                <w:szCs w:val="18"/>
                <w:lang w:val="el-GR"/>
              </w:rPr>
              <w:t>1</w:t>
            </w:r>
          </w:p>
        </w:tc>
        <w:tc>
          <w:tcPr>
            <w:tcW w:w="956" w:type="dxa"/>
            <w:tcBorders>
              <w:righ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740AE5" w:rsidRPr="004F197F" w:rsidDel="005B246A" w:rsidRDefault="00740AE5" w:rsidP="00740AE5">
            <w:pPr>
              <w:pStyle w:val="11TableP"/>
              <w:jc w:val="right"/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sz w:val="18"/>
                <w:szCs w:val="18"/>
                <w:lang w:val="el-GR"/>
              </w:rPr>
              <w:t>(13)</w:t>
            </w:r>
          </w:p>
        </w:tc>
        <w:tc>
          <w:tcPr>
            <w:tcW w:w="955" w:type="dxa"/>
            <w:tcBorders>
              <w:lef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740AE5" w:rsidRPr="004F197F" w:rsidDel="005B246A" w:rsidRDefault="00740AE5" w:rsidP="00740AE5">
            <w:pPr>
              <w:pStyle w:val="11TableP"/>
              <w:jc w:val="right"/>
              <w:rPr>
                <w:rFonts w:cstheme="majorHAnsi"/>
                <w:i/>
                <w:sz w:val="18"/>
                <w:szCs w:val="18"/>
              </w:rPr>
            </w:pPr>
            <w:r w:rsidRPr="004F197F">
              <w:rPr>
                <w:rFonts w:cstheme="majorHAnsi"/>
                <w:i/>
                <w:sz w:val="18"/>
                <w:szCs w:val="18"/>
              </w:rPr>
              <w:t>-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740AE5" w:rsidRPr="004F197F" w:rsidDel="005B246A" w:rsidRDefault="00740AE5" w:rsidP="00740AE5">
            <w:pPr>
              <w:pStyle w:val="11TableP"/>
              <w:jc w:val="right"/>
              <w:rPr>
                <w:rFonts w:cstheme="majorHAnsi"/>
                <w:i/>
                <w:sz w:val="18"/>
                <w:szCs w:val="18"/>
                <w:highlight w:val="yellow"/>
                <w:lang w:val="el-GR"/>
              </w:rPr>
            </w:pPr>
            <w:r w:rsidRPr="004F197F">
              <w:rPr>
                <w:rFonts w:cstheme="majorHAnsi"/>
                <w:i/>
                <w:sz w:val="18"/>
                <w:szCs w:val="18"/>
              </w:rPr>
              <w:t>-</w:t>
            </w:r>
          </w:p>
        </w:tc>
      </w:tr>
      <w:tr w:rsidR="00740AE5" w:rsidRPr="004F197F" w:rsidTr="00D55D34">
        <w:trPr>
          <w:trHeight w:val="260"/>
        </w:trPr>
        <w:tc>
          <w:tcPr>
            <w:tcW w:w="3463" w:type="dxa"/>
            <w:shd w:val="clear" w:color="auto" w:fill="FFFFFF" w:themeFill="background1"/>
            <w:tcMar>
              <w:right w:w="113" w:type="dxa"/>
            </w:tcMar>
            <w:vAlign w:val="center"/>
          </w:tcPr>
          <w:p w:rsidR="00740AE5" w:rsidRPr="004F197F" w:rsidRDefault="00740AE5" w:rsidP="00740AE5">
            <w:pPr>
              <w:pStyle w:val="11TableP"/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955" w:type="dxa"/>
            <w:tcBorders>
              <w:top w:val="nil"/>
              <w:bottom w:val="nil"/>
              <w:right w:val="single" w:sz="6" w:space="0" w:color="E0CBA4"/>
            </w:tcBorders>
            <w:shd w:val="clear" w:color="auto" w:fill="FFFFFF" w:themeFill="background1"/>
            <w:vAlign w:val="center"/>
          </w:tcPr>
          <w:p w:rsidR="00740AE5" w:rsidRPr="004F197F" w:rsidRDefault="00740AE5" w:rsidP="00740AE5">
            <w:pPr>
              <w:pStyle w:val="11TableP"/>
              <w:jc w:val="right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E0CBA4"/>
              <w:bottom w:val="nil"/>
            </w:tcBorders>
            <w:shd w:val="clear" w:color="auto" w:fill="FFFFFF" w:themeFill="background1"/>
            <w:vAlign w:val="center"/>
          </w:tcPr>
          <w:p w:rsidR="00740AE5" w:rsidRPr="004F197F" w:rsidRDefault="00740AE5" w:rsidP="00740AE5">
            <w:pPr>
              <w:pStyle w:val="11TableP"/>
              <w:jc w:val="right"/>
              <w:rPr>
                <w:rFonts w:cstheme="majorHAnsi"/>
                <w:sz w:val="18"/>
                <w:szCs w:val="18"/>
                <w:lang w:val="el-GR"/>
              </w:rPr>
            </w:pPr>
          </w:p>
        </w:tc>
        <w:tc>
          <w:tcPr>
            <w:tcW w:w="956" w:type="dxa"/>
            <w:tcBorders>
              <w:righ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740AE5" w:rsidRPr="004F197F" w:rsidRDefault="00740AE5" w:rsidP="00740AE5">
            <w:pPr>
              <w:pStyle w:val="11TableP"/>
              <w:jc w:val="right"/>
              <w:rPr>
                <w:rFonts w:cstheme="majorHAnsi"/>
                <w:sz w:val="18"/>
                <w:szCs w:val="18"/>
                <w:lang w:val="el-GR"/>
              </w:rPr>
            </w:pPr>
          </w:p>
        </w:tc>
        <w:tc>
          <w:tcPr>
            <w:tcW w:w="955" w:type="dxa"/>
            <w:tcBorders>
              <w:lef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740AE5" w:rsidRPr="004F197F" w:rsidRDefault="00740AE5" w:rsidP="00740AE5">
            <w:pPr>
              <w:pStyle w:val="11TableP"/>
              <w:jc w:val="right"/>
              <w:rPr>
                <w:rFonts w:cstheme="majorHAnsi"/>
                <w:i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740AE5" w:rsidRPr="004F197F" w:rsidRDefault="00740AE5" w:rsidP="00740AE5">
            <w:pPr>
              <w:pStyle w:val="11TableP"/>
              <w:jc w:val="right"/>
              <w:rPr>
                <w:rFonts w:cstheme="majorHAnsi"/>
                <w:i/>
                <w:sz w:val="18"/>
                <w:szCs w:val="18"/>
              </w:rPr>
            </w:pPr>
          </w:p>
        </w:tc>
      </w:tr>
      <w:tr w:rsidR="00740AE5" w:rsidRPr="004F197F" w:rsidTr="00D55D34">
        <w:trPr>
          <w:trHeight w:val="260"/>
        </w:trPr>
        <w:tc>
          <w:tcPr>
            <w:tcW w:w="3463" w:type="dxa"/>
            <w:shd w:val="clear" w:color="auto" w:fill="FFFFFF" w:themeFill="background1"/>
            <w:tcMar>
              <w:right w:w="113" w:type="dxa"/>
            </w:tcMar>
            <w:vAlign w:val="center"/>
          </w:tcPr>
          <w:p w:rsidR="00740AE5" w:rsidRPr="004F197F" w:rsidRDefault="00740AE5" w:rsidP="00740AE5">
            <w:pPr>
              <w:pStyle w:val="10TableB"/>
              <w:rPr>
                <w:rFonts w:cstheme="majorHAnsi"/>
                <w:color w:val="000000" w:themeColor="text1"/>
                <w:sz w:val="18"/>
                <w:szCs w:val="18"/>
              </w:rPr>
            </w:pPr>
            <w:proofErr w:type="spellStart"/>
            <w:r w:rsidRPr="004F197F">
              <w:rPr>
                <w:rFonts w:cstheme="majorHAnsi"/>
                <w:color w:val="000000" w:themeColor="text1"/>
                <w:sz w:val="18"/>
                <w:szCs w:val="18"/>
              </w:rPr>
              <w:t>Αποτ</w:t>
            </w:r>
            <w:r w:rsidRPr="004F197F"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  <w:t>ελέσματα</w:t>
            </w:r>
            <w:proofErr w:type="spellEnd"/>
            <w:r w:rsidRPr="004F197F">
              <w:rPr>
                <w:rFonts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F197F">
              <w:rPr>
                <w:rFonts w:cstheme="majorHAnsi"/>
                <w:color w:val="000000" w:themeColor="text1"/>
                <w:sz w:val="18"/>
                <w:szCs w:val="18"/>
              </w:rPr>
              <w:t>προ</w:t>
            </w:r>
            <w:proofErr w:type="spellEnd"/>
            <w:r w:rsidRPr="004F197F"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4F197F">
              <w:rPr>
                <w:rFonts w:cstheme="majorHAnsi"/>
                <w:color w:val="000000" w:themeColor="text1"/>
                <w:sz w:val="18"/>
                <w:szCs w:val="18"/>
              </w:rPr>
              <w:t>Φόρων</w:t>
            </w:r>
            <w:proofErr w:type="spellEnd"/>
          </w:p>
        </w:tc>
        <w:tc>
          <w:tcPr>
            <w:tcW w:w="955" w:type="dxa"/>
            <w:tcBorders>
              <w:top w:val="nil"/>
              <w:bottom w:val="nil"/>
              <w:right w:val="single" w:sz="6" w:space="0" w:color="E0CBA4"/>
            </w:tcBorders>
            <w:shd w:val="clear" w:color="auto" w:fill="FFFFFF" w:themeFill="background1"/>
            <w:vAlign w:val="center"/>
          </w:tcPr>
          <w:p w:rsidR="00740AE5" w:rsidRPr="004F197F" w:rsidRDefault="00740AE5" w:rsidP="00740AE5">
            <w:pPr>
              <w:pStyle w:val="11TableP"/>
              <w:jc w:val="right"/>
              <w:rPr>
                <w:rFonts w:cstheme="majorHAnsi"/>
                <w:b/>
                <w:sz w:val="18"/>
                <w:szCs w:val="18"/>
              </w:rPr>
            </w:pPr>
            <w:r w:rsidRPr="004F197F">
              <w:rPr>
                <w:rFonts w:cstheme="majorHAnsi"/>
                <w:b/>
                <w:sz w:val="18"/>
                <w:szCs w:val="18"/>
              </w:rPr>
              <w:t>(39)</w:t>
            </w:r>
          </w:p>
        </w:tc>
        <w:tc>
          <w:tcPr>
            <w:tcW w:w="955" w:type="dxa"/>
            <w:tcBorders>
              <w:top w:val="nil"/>
              <w:left w:val="single" w:sz="6" w:space="0" w:color="E0CBA4"/>
              <w:bottom w:val="nil"/>
            </w:tcBorders>
            <w:shd w:val="clear" w:color="auto" w:fill="FFFFFF" w:themeFill="background1"/>
            <w:vAlign w:val="center"/>
          </w:tcPr>
          <w:p w:rsidR="00740AE5" w:rsidRPr="004F197F" w:rsidDel="005B246A" w:rsidRDefault="00740AE5" w:rsidP="00740AE5">
            <w:pPr>
              <w:pStyle w:val="11TableP"/>
              <w:jc w:val="right"/>
              <w:rPr>
                <w:rFonts w:cstheme="majorHAnsi"/>
                <w:b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b/>
                <w:sz w:val="18"/>
                <w:szCs w:val="18"/>
                <w:lang w:val="el-GR"/>
              </w:rPr>
              <w:t>(1.530)</w:t>
            </w:r>
          </w:p>
        </w:tc>
        <w:tc>
          <w:tcPr>
            <w:tcW w:w="956" w:type="dxa"/>
            <w:tcBorders>
              <w:righ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740AE5" w:rsidRPr="004F197F" w:rsidDel="005B246A" w:rsidRDefault="00740AE5" w:rsidP="00740AE5">
            <w:pPr>
              <w:pStyle w:val="11TableP"/>
              <w:jc w:val="right"/>
              <w:rPr>
                <w:rFonts w:cstheme="majorHAnsi"/>
                <w:b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b/>
                <w:sz w:val="18"/>
                <w:szCs w:val="18"/>
                <w:lang w:val="el-GR"/>
              </w:rPr>
              <w:t>(52)</w:t>
            </w:r>
          </w:p>
        </w:tc>
        <w:tc>
          <w:tcPr>
            <w:tcW w:w="955" w:type="dxa"/>
            <w:tcBorders>
              <w:lef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740AE5" w:rsidRPr="004F197F" w:rsidRDefault="00740AE5" w:rsidP="00740AE5">
            <w:pPr>
              <w:pStyle w:val="11TableP"/>
              <w:jc w:val="right"/>
              <w:rPr>
                <w:rFonts w:cstheme="majorHAnsi"/>
                <w:b/>
                <w:i/>
                <w:sz w:val="18"/>
                <w:szCs w:val="18"/>
              </w:rPr>
            </w:pPr>
            <w:r w:rsidRPr="004F197F">
              <w:rPr>
                <w:rFonts w:cstheme="majorHAnsi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740AE5" w:rsidRPr="004F197F" w:rsidRDefault="00740AE5" w:rsidP="00740AE5">
            <w:pPr>
              <w:pStyle w:val="10TableB"/>
              <w:jc w:val="right"/>
              <w:rPr>
                <w:rFonts w:cstheme="majorHAnsi"/>
                <w:i/>
                <w:sz w:val="18"/>
                <w:szCs w:val="18"/>
              </w:rPr>
            </w:pPr>
            <w:r w:rsidRPr="004F197F">
              <w:rPr>
                <w:rFonts w:cstheme="majorHAnsi"/>
                <w:i/>
                <w:sz w:val="18"/>
                <w:szCs w:val="18"/>
              </w:rPr>
              <w:t>-</w:t>
            </w:r>
          </w:p>
        </w:tc>
      </w:tr>
      <w:tr w:rsidR="00740AE5" w:rsidRPr="004F197F" w:rsidTr="00D55D34">
        <w:trPr>
          <w:trHeight w:val="260"/>
        </w:trPr>
        <w:tc>
          <w:tcPr>
            <w:tcW w:w="3463" w:type="dxa"/>
            <w:shd w:val="clear" w:color="auto" w:fill="FFFFFF" w:themeFill="background1"/>
            <w:tcMar>
              <w:right w:w="113" w:type="dxa"/>
            </w:tcMar>
            <w:vAlign w:val="center"/>
          </w:tcPr>
          <w:p w:rsidR="00740AE5" w:rsidRPr="004F197F" w:rsidRDefault="00740AE5" w:rsidP="00740AE5">
            <w:pPr>
              <w:pStyle w:val="11TableP"/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  <w:t>Φόρος Εισοδήματος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6" w:space="0" w:color="E0CBA4"/>
            </w:tcBorders>
            <w:shd w:val="clear" w:color="auto" w:fill="FFFFFF" w:themeFill="background1"/>
            <w:vAlign w:val="center"/>
          </w:tcPr>
          <w:p w:rsidR="00740AE5" w:rsidRPr="00B8429B" w:rsidRDefault="00DD1FE0" w:rsidP="00740AE5">
            <w:pPr>
              <w:pStyle w:val="11TableP"/>
              <w:jc w:val="right"/>
              <w:rPr>
                <w:rFonts w:cstheme="majorHAnsi"/>
                <w:sz w:val="18"/>
                <w:szCs w:val="18"/>
                <w:lang w:val="el-GR"/>
              </w:rPr>
            </w:pPr>
            <w:r>
              <w:rPr>
                <w:rFonts w:cstheme="majorHAnsi"/>
                <w:sz w:val="18"/>
                <w:szCs w:val="18"/>
                <w:lang w:val="el-GR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6" w:space="0" w:color="E0CBA4"/>
              <w:bottom w:val="nil"/>
            </w:tcBorders>
            <w:shd w:val="clear" w:color="auto" w:fill="FFFFFF" w:themeFill="background1"/>
            <w:vAlign w:val="center"/>
          </w:tcPr>
          <w:p w:rsidR="00740AE5" w:rsidRPr="004F197F" w:rsidRDefault="00740AE5" w:rsidP="00740AE5">
            <w:pPr>
              <w:pStyle w:val="10TableB"/>
              <w:jc w:val="right"/>
              <w:rPr>
                <w:rFonts w:cstheme="majorHAnsi"/>
                <w:b w:val="0"/>
                <w:sz w:val="18"/>
                <w:szCs w:val="18"/>
              </w:rPr>
            </w:pPr>
            <w:r w:rsidRPr="004F197F">
              <w:rPr>
                <w:rFonts w:cstheme="majorHAnsi"/>
                <w:b w:val="0"/>
                <w:sz w:val="18"/>
                <w:szCs w:val="18"/>
                <w:lang w:val="el-GR"/>
              </w:rPr>
              <w:t>290</w:t>
            </w:r>
          </w:p>
        </w:tc>
        <w:tc>
          <w:tcPr>
            <w:tcW w:w="956" w:type="dxa"/>
            <w:tcBorders>
              <w:righ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740AE5" w:rsidRPr="004F197F" w:rsidRDefault="00740AE5" w:rsidP="00740AE5">
            <w:pPr>
              <w:pStyle w:val="10TableB"/>
              <w:jc w:val="right"/>
              <w:rPr>
                <w:rFonts w:cstheme="majorHAnsi"/>
                <w:b w:val="0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b w:val="0"/>
                <w:sz w:val="18"/>
                <w:szCs w:val="18"/>
                <w:lang w:val="el-GR"/>
              </w:rPr>
              <w:t>(12)</w:t>
            </w:r>
          </w:p>
        </w:tc>
        <w:tc>
          <w:tcPr>
            <w:tcW w:w="955" w:type="dxa"/>
            <w:tcBorders>
              <w:lef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740AE5" w:rsidRPr="004F197F" w:rsidRDefault="00740AE5" w:rsidP="00740AE5">
            <w:pPr>
              <w:pStyle w:val="11TableP"/>
              <w:jc w:val="right"/>
              <w:rPr>
                <w:rFonts w:cstheme="majorHAnsi"/>
                <w:i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i/>
                <w:sz w:val="18"/>
                <w:szCs w:val="18"/>
                <w:lang w:val="el-GR"/>
              </w:rPr>
              <w:t>-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740AE5" w:rsidRPr="004F197F" w:rsidRDefault="00740AE5" w:rsidP="00740AE5">
            <w:pPr>
              <w:pStyle w:val="11TableP"/>
              <w:jc w:val="right"/>
              <w:rPr>
                <w:rFonts w:cstheme="majorHAnsi"/>
                <w:i/>
                <w:sz w:val="18"/>
                <w:szCs w:val="18"/>
              </w:rPr>
            </w:pPr>
            <w:r w:rsidRPr="004F197F">
              <w:rPr>
                <w:rFonts w:cstheme="majorHAnsi"/>
                <w:i/>
                <w:sz w:val="18"/>
                <w:szCs w:val="18"/>
              </w:rPr>
              <w:t>-</w:t>
            </w:r>
          </w:p>
        </w:tc>
      </w:tr>
      <w:tr w:rsidR="00740AE5" w:rsidRPr="004F197F" w:rsidTr="00D55D34">
        <w:trPr>
          <w:trHeight w:val="260"/>
        </w:trPr>
        <w:tc>
          <w:tcPr>
            <w:tcW w:w="3463" w:type="dxa"/>
            <w:shd w:val="clear" w:color="auto" w:fill="FFFFFF" w:themeFill="background1"/>
            <w:tcMar>
              <w:right w:w="113" w:type="dxa"/>
            </w:tcMar>
            <w:vAlign w:val="center"/>
          </w:tcPr>
          <w:p w:rsidR="00740AE5" w:rsidRPr="004F197F" w:rsidRDefault="00740AE5" w:rsidP="00740AE5">
            <w:pPr>
              <w:pStyle w:val="11TableP"/>
              <w:rPr>
                <w:rFonts w:cstheme="majorHAnsi"/>
                <w:b/>
                <w:color w:val="000000" w:themeColor="text1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b/>
                <w:color w:val="000000" w:themeColor="text1"/>
                <w:sz w:val="18"/>
                <w:szCs w:val="18"/>
                <w:lang w:val="el-GR"/>
              </w:rPr>
              <w:t xml:space="preserve">Αποτέλεσμα Αναλογούν στους Μετόχους 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6" w:space="0" w:color="E0CBA4"/>
            </w:tcBorders>
            <w:shd w:val="clear" w:color="auto" w:fill="FFFFFF" w:themeFill="background1"/>
            <w:vAlign w:val="center"/>
          </w:tcPr>
          <w:p w:rsidR="00740AE5" w:rsidRPr="004F197F" w:rsidRDefault="00740AE5" w:rsidP="00740AE5">
            <w:pPr>
              <w:pStyle w:val="11TableP"/>
              <w:jc w:val="right"/>
              <w:rPr>
                <w:rFonts w:cstheme="majorHAnsi"/>
                <w:b/>
                <w:sz w:val="18"/>
                <w:szCs w:val="18"/>
              </w:rPr>
            </w:pPr>
            <w:r w:rsidRPr="004F197F">
              <w:rPr>
                <w:rFonts w:cstheme="majorHAnsi"/>
                <w:b/>
                <w:sz w:val="18"/>
                <w:szCs w:val="18"/>
              </w:rPr>
              <w:t>(3</w:t>
            </w:r>
            <w:r w:rsidRPr="004F197F">
              <w:rPr>
                <w:rFonts w:cstheme="majorHAnsi"/>
                <w:b/>
                <w:sz w:val="18"/>
                <w:szCs w:val="18"/>
                <w:lang w:val="el-GR"/>
              </w:rPr>
              <w:t>7</w:t>
            </w:r>
            <w:r w:rsidRPr="004F197F">
              <w:rPr>
                <w:rFonts w:cstheme="majorHAnsi"/>
                <w:b/>
                <w:sz w:val="18"/>
                <w:szCs w:val="18"/>
              </w:rPr>
              <w:t>)</w:t>
            </w:r>
          </w:p>
        </w:tc>
        <w:tc>
          <w:tcPr>
            <w:tcW w:w="955" w:type="dxa"/>
            <w:tcBorders>
              <w:top w:val="nil"/>
              <w:left w:val="single" w:sz="6" w:space="0" w:color="E0CBA4"/>
              <w:bottom w:val="nil"/>
            </w:tcBorders>
            <w:shd w:val="clear" w:color="auto" w:fill="FFFFFF" w:themeFill="background1"/>
            <w:vAlign w:val="center"/>
          </w:tcPr>
          <w:p w:rsidR="00740AE5" w:rsidRPr="004F197F" w:rsidRDefault="00740AE5" w:rsidP="00740AE5">
            <w:pPr>
              <w:pStyle w:val="11TableP"/>
              <w:jc w:val="right"/>
              <w:rPr>
                <w:rFonts w:cstheme="majorHAnsi"/>
                <w:b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b/>
                <w:sz w:val="18"/>
                <w:szCs w:val="18"/>
                <w:lang w:val="el-GR"/>
              </w:rPr>
              <w:t>(1.238)</w:t>
            </w:r>
          </w:p>
        </w:tc>
        <w:tc>
          <w:tcPr>
            <w:tcW w:w="956" w:type="dxa"/>
            <w:tcBorders>
              <w:righ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740AE5" w:rsidRPr="004F197F" w:rsidRDefault="00740AE5" w:rsidP="00740AE5">
            <w:pPr>
              <w:pStyle w:val="11TableP"/>
              <w:jc w:val="right"/>
              <w:rPr>
                <w:rFonts w:cstheme="majorHAnsi"/>
                <w:b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b/>
                <w:sz w:val="18"/>
                <w:szCs w:val="18"/>
                <w:lang w:val="el-GR"/>
              </w:rPr>
              <w:t>(63)</w:t>
            </w:r>
          </w:p>
        </w:tc>
        <w:tc>
          <w:tcPr>
            <w:tcW w:w="955" w:type="dxa"/>
            <w:tcBorders>
              <w:lef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740AE5" w:rsidRPr="004F197F" w:rsidRDefault="00740AE5" w:rsidP="00740AE5">
            <w:pPr>
              <w:pStyle w:val="11TableP"/>
              <w:jc w:val="right"/>
              <w:rPr>
                <w:rFonts w:cstheme="majorHAnsi"/>
                <w:b/>
                <w:i/>
                <w:sz w:val="18"/>
                <w:szCs w:val="18"/>
              </w:rPr>
            </w:pPr>
            <w:r w:rsidRPr="004F197F">
              <w:rPr>
                <w:rFonts w:cstheme="majorHAnsi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740AE5" w:rsidRPr="004F197F" w:rsidRDefault="00740AE5" w:rsidP="00740AE5">
            <w:pPr>
              <w:pStyle w:val="11TableP"/>
              <w:jc w:val="right"/>
              <w:rPr>
                <w:rFonts w:cstheme="majorHAnsi"/>
                <w:b/>
                <w:i/>
                <w:sz w:val="18"/>
                <w:szCs w:val="18"/>
              </w:rPr>
            </w:pPr>
            <w:r w:rsidRPr="004F197F">
              <w:rPr>
                <w:rFonts w:cstheme="majorHAnsi"/>
                <w:b/>
                <w:i/>
                <w:sz w:val="18"/>
                <w:szCs w:val="18"/>
              </w:rPr>
              <w:t>-</w:t>
            </w:r>
          </w:p>
        </w:tc>
      </w:tr>
      <w:tr w:rsidR="00740AE5" w:rsidRPr="004F197F" w:rsidTr="00D55D34">
        <w:trPr>
          <w:trHeight w:val="260"/>
        </w:trPr>
        <w:tc>
          <w:tcPr>
            <w:tcW w:w="3463" w:type="dxa"/>
            <w:shd w:val="clear" w:color="auto" w:fill="FFFFFF" w:themeFill="background1"/>
            <w:tcMar>
              <w:right w:w="113" w:type="dxa"/>
            </w:tcMar>
          </w:tcPr>
          <w:p w:rsidR="00740AE5" w:rsidRPr="004F197F" w:rsidRDefault="00740AE5" w:rsidP="00740AE5">
            <w:pPr>
              <w:pStyle w:val="11TableP"/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  <w:t>Αποτέλεσμα Διακοπτόμενων</w:t>
            </w:r>
            <w:r w:rsidRPr="004F197F">
              <w:rPr>
                <w:rFonts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4F197F"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  <w:t>Δραστηριοτήτων</w:t>
            </w:r>
          </w:p>
        </w:tc>
        <w:tc>
          <w:tcPr>
            <w:tcW w:w="955" w:type="dxa"/>
            <w:tcBorders>
              <w:top w:val="nil"/>
              <w:bottom w:val="single" w:sz="6" w:space="0" w:color="E0CBA4"/>
              <w:right w:val="single" w:sz="6" w:space="0" w:color="E0CBA4"/>
            </w:tcBorders>
            <w:shd w:val="clear" w:color="auto" w:fill="FFFFFF" w:themeFill="background1"/>
            <w:vAlign w:val="center"/>
          </w:tcPr>
          <w:p w:rsidR="00740AE5" w:rsidRPr="004F197F" w:rsidRDefault="00740AE5" w:rsidP="00740AE5">
            <w:pPr>
              <w:pStyle w:val="11TableP"/>
              <w:jc w:val="right"/>
              <w:rPr>
                <w:rFonts w:cstheme="majorHAnsi"/>
                <w:sz w:val="18"/>
                <w:szCs w:val="18"/>
              </w:rPr>
            </w:pPr>
            <w:r w:rsidRPr="004F197F">
              <w:rPr>
                <w:rFonts w:cstheme="majorHAnsi"/>
                <w:sz w:val="18"/>
                <w:szCs w:val="18"/>
              </w:rPr>
              <w:t>(7)</w:t>
            </w:r>
          </w:p>
        </w:tc>
        <w:tc>
          <w:tcPr>
            <w:tcW w:w="955" w:type="dxa"/>
            <w:tcBorders>
              <w:top w:val="nil"/>
              <w:left w:val="single" w:sz="6" w:space="0" w:color="E0CBA4"/>
              <w:bottom w:val="single" w:sz="6" w:space="0" w:color="E0CBA4"/>
            </w:tcBorders>
            <w:shd w:val="clear" w:color="auto" w:fill="FFFFFF" w:themeFill="background1"/>
            <w:vAlign w:val="center"/>
          </w:tcPr>
          <w:p w:rsidR="00740AE5" w:rsidRPr="004F197F" w:rsidRDefault="00740AE5" w:rsidP="00740AE5">
            <w:pPr>
              <w:pStyle w:val="11TableP"/>
              <w:jc w:val="right"/>
              <w:rPr>
                <w:rFonts w:cstheme="majorHAnsi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sz w:val="18"/>
                <w:szCs w:val="18"/>
                <w:lang w:val="el-GR"/>
              </w:rPr>
              <w:t>(31)</w:t>
            </w:r>
          </w:p>
        </w:tc>
        <w:tc>
          <w:tcPr>
            <w:tcW w:w="956" w:type="dxa"/>
            <w:tcBorders>
              <w:righ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740AE5" w:rsidRPr="004F197F" w:rsidRDefault="00740AE5" w:rsidP="00740AE5">
            <w:pPr>
              <w:pStyle w:val="11TableP"/>
              <w:jc w:val="right"/>
              <w:rPr>
                <w:rFonts w:cstheme="majorHAnsi"/>
                <w:sz w:val="18"/>
                <w:szCs w:val="18"/>
                <w:lang w:val="el-GR"/>
              </w:rPr>
            </w:pPr>
            <w:r w:rsidRPr="004F197F">
              <w:rPr>
                <w:rFonts w:cstheme="majorHAnsi"/>
                <w:sz w:val="18"/>
                <w:szCs w:val="18"/>
                <w:lang w:val="el-GR"/>
              </w:rPr>
              <w:t>(14)</w:t>
            </w:r>
          </w:p>
        </w:tc>
        <w:tc>
          <w:tcPr>
            <w:tcW w:w="955" w:type="dxa"/>
            <w:tcBorders>
              <w:left w:val="single" w:sz="8" w:space="0" w:color="D1AA70" w:themeColor="accent2"/>
            </w:tcBorders>
            <w:shd w:val="clear" w:color="auto" w:fill="FFFFFF" w:themeFill="background1"/>
            <w:vAlign w:val="center"/>
          </w:tcPr>
          <w:p w:rsidR="00740AE5" w:rsidRPr="004F197F" w:rsidRDefault="00740AE5" w:rsidP="00740AE5">
            <w:pPr>
              <w:pStyle w:val="11TableP"/>
              <w:jc w:val="right"/>
              <w:rPr>
                <w:rFonts w:cstheme="majorHAnsi"/>
                <w:i/>
                <w:sz w:val="18"/>
                <w:szCs w:val="18"/>
              </w:rPr>
            </w:pPr>
            <w:r w:rsidRPr="004F197F">
              <w:rPr>
                <w:rFonts w:cstheme="majorHAnsi"/>
                <w:i/>
                <w:sz w:val="18"/>
                <w:szCs w:val="18"/>
              </w:rPr>
              <w:t>-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740AE5" w:rsidRPr="004F197F" w:rsidRDefault="00740AE5" w:rsidP="00740AE5">
            <w:pPr>
              <w:pStyle w:val="11TableP"/>
              <w:jc w:val="right"/>
              <w:rPr>
                <w:rFonts w:cstheme="majorHAnsi"/>
                <w:i/>
                <w:sz w:val="18"/>
                <w:szCs w:val="18"/>
              </w:rPr>
            </w:pPr>
            <w:r w:rsidRPr="004F197F">
              <w:rPr>
                <w:rFonts w:cstheme="majorHAnsi"/>
                <w:i/>
                <w:sz w:val="18"/>
                <w:szCs w:val="18"/>
              </w:rPr>
              <w:t>-</w:t>
            </w:r>
          </w:p>
        </w:tc>
      </w:tr>
    </w:tbl>
    <w:p w:rsidR="00B00942" w:rsidRPr="00AA192B" w:rsidRDefault="00AA192B" w:rsidP="00AA192B">
      <w:pPr>
        <w:jc w:val="both"/>
        <w:rPr>
          <w:rFonts w:asciiTheme="majorHAnsi" w:hAnsiTheme="majorHAnsi" w:cs="Calibri"/>
          <w:noProof/>
          <w:color w:val="3A73AE"/>
          <w:sz w:val="28"/>
          <w:szCs w:val="28"/>
          <w:lang w:eastAsia="en-GB"/>
        </w:rPr>
      </w:pPr>
      <w:r>
        <w:rPr>
          <w:rFonts w:asciiTheme="majorHAnsi" w:hAnsiTheme="majorHAnsi" w:cstheme="majorHAnsi"/>
          <w:color w:val="000000" w:themeColor="text1"/>
          <w:sz w:val="16"/>
          <w:szCs w:val="16"/>
        </w:rPr>
        <w:t>Σημείωση</w:t>
      </w:r>
      <w:r w:rsidRPr="000B3585">
        <w:rPr>
          <w:rFonts w:asciiTheme="majorHAnsi" w:hAnsiTheme="majorHAnsi" w:cstheme="majorHAnsi"/>
          <w:color w:val="000000" w:themeColor="text1"/>
          <w:sz w:val="16"/>
          <w:szCs w:val="16"/>
        </w:rPr>
        <w:t>:</w:t>
      </w:r>
      <w:r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τ</w:t>
      </w:r>
      <w:r w:rsidRPr="00AA192B">
        <w:rPr>
          <w:rFonts w:asciiTheme="majorHAnsi" w:hAnsiTheme="majorHAnsi" w:cstheme="majorHAnsi"/>
          <w:color w:val="000000" w:themeColor="text1"/>
          <w:sz w:val="16"/>
          <w:szCs w:val="16"/>
        </w:rPr>
        <w:t>α ιστορικά</w:t>
      </w:r>
      <w:r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στοιχεία πλην ενεργητικού και ιδίω</w:t>
      </w:r>
      <w:r w:rsidR="000B3585">
        <w:rPr>
          <w:rFonts w:asciiTheme="majorHAnsi" w:hAnsiTheme="majorHAnsi" w:cstheme="majorHAnsi"/>
          <w:color w:val="000000" w:themeColor="text1"/>
          <w:sz w:val="16"/>
          <w:szCs w:val="16"/>
        </w:rPr>
        <w:t>ν</w:t>
      </w:r>
      <w:r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κεφαλαίων εξαιρούν τις δραστηριότητες στην Κύπρο (διακοπτόμενες) και στην Αίγυπτο (πωληθείσες) </w:t>
      </w:r>
      <w:r>
        <w:rPr>
          <w:rFonts w:cs="Calibri"/>
          <w:color w:val="3A73AE"/>
          <w:sz w:val="28"/>
          <w:szCs w:val="28"/>
        </w:rPr>
        <w:t xml:space="preserve"> </w:t>
      </w:r>
      <w:r w:rsidR="00B00942">
        <w:rPr>
          <w:rFonts w:cs="Calibri"/>
          <w:color w:val="3A73AE"/>
          <w:sz w:val="28"/>
          <w:szCs w:val="28"/>
        </w:rPr>
        <w:br w:type="page"/>
      </w:r>
    </w:p>
    <w:p w:rsidR="00F168DB" w:rsidRPr="00C74907" w:rsidRDefault="00C058B0" w:rsidP="009F70CA">
      <w:pPr>
        <w:pStyle w:val="a8"/>
        <w:spacing w:before="600"/>
        <w:ind w:left="2552" w:right="-284"/>
        <w:rPr>
          <w:rFonts w:cs="Calibri"/>
          <w:lang w:val="el-GR"/>
        </w:rPr>
      </w:pPr>
      <w:r w:rsidRPr="00C058B0">
        <w:rPr>
          <w:rFonts w:cs="Calibri"/>
        </w:rPr>
        <w:lastRenderedPageBreak/>
        <w:pict>
          <v:roundrect id="AutoShape 23" o:spid="_x0000_s1031" style="position:absolute;left:0;text-align:left;margin-left:0;margin-top:105.8pt;width:219.15pt;height:690.4pt;z-index:-251627520;visibility:visible;mso-position-horizontal:left;mso-position-horizontal-relative:page;mso-position-vertical-relative:page;mso-width-relative:margin;mso-height-relative:margin;v-text-anchor:middle" arcsize="18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" fillcolor="#dcdcd7" stroked="f">
            <v:fill opacity="49087f"/>
            <w10:wrap anchorx="page" anchory="page"/>
          </v:roundrect>
        </w:pict>
      </w:r>
      <w:r w:rsidR="00471476" w:rsidRPr="00AA192B">
        <w:rPr>
          <w:rFonts w:cs="Calibri"/>
          <w:color w:val="3A73AE"/>
          <w:sz w:val="28"/>
          <w:szCs w:val="28"/>
          <w:lang w:val="el-GR"/>
        </w:rPr>
        <w:t>Εξ</w:t>
      </w:r>
      <w:r w:rsidR="00471476" w:rsidRPr="00C74907">
        <w:rPr>
          <w:rFonts w:cs="Calibri"/>
          <w:color w:val="3A73AE"/>
          <w:sz w:val="28"/>
          <w:szCs w:val="28"/>
          <w:lang w:val="el-GR"/>
        </w:rPr>
        <w:t>έλιξη Αποτελεσμάτων και Μεγεθών</w:t>
      </w:r>
    </w:p>
    <w:tbl>
      <w:tblPr>
        <w:tblStyle w:val="a7"/>
        <w:tblpPr w:leftFromText="181" w:rightFromText="181" w:vertAnchor="page" w:horzAnchor="page" w:tblpX="376" w:tblpY="2268"/>
        <w:tblOverlap w:val="never"/>
        <w:tblW w:w="3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4"/>
      </w:tblGrid>
      <w:tr w:rsidR="005C3B1E" w:rsidRPr="00C74907" w:rsidTr="005C3B1E">
        <w:trPr>
          <w:trHeight w:val="175"/>
        </w:trPr>
        <w:tc>
          <w:tcPr>
            <w:tcW w:w="3664" w:type="dxa"/>
            <w:tcBorders>
              <w:bottom w:val="single" w:sz="4" w:space="0" w:color="FFFFFF" w:themeColor="background1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5C3B1E" w:rsidRPr="00EE21EF" w:rsidRDefault="00A62879" w:rsidP="00DE54DB">
            <w:pPr>
              <w:pStyle w:val="10TableB"/>
              <w:rPr>
                <w:rFonts w:cs="Calibri"/>
                <w:bCs/>
                <w:color w:val="D1AA70" w:themeColor="accent2"/>
                <w:sz w:val="14"/>
                <w:szCs w:val="18"/>
                <w:lang w:val="el-GR"/>
              </w:rPr>
            </w:pPr>
            <w:r>
              <w:rPr>
                <w:rFonts w:cs="Calibri"/>
                <w:bCs/>
                <w:color w:val="81AAD5" w:themeColor="accent1" w:themeTint="99"/>
                <w:sz w:val="18"/>
                <w:szCs w:val="18"/>
                <w:lang w:val="el-GR"/>
              </w:rPr>
              <w:t xml:space="preserve">Προ φόρων </w:t>
            </w:r>
            <w:r w:rsidR="00DE54DB">
              <w:rPr>
                <w:rFonts w:cs="Calibri"/>
                <w:bCs/>
                <w:color w:val="81AAD5" w:themeColor="accent1" w:themeTint="99"/>
                <w:sz w:val="18"/>
                <w:szCs w:val="18"/>
                <w:lang w:val="el-GR"/>
              </w:rPr>
              <w:t>&amp;</w:t>
            </w:r>
            <w:r>
              <w:rPr>
                <w:rFonts w:cs="Calibri"/>
                <w:bCs/>
                <w:color w:val="81AAD5" w:themeColor="accent1" w:themeTint="99"/>
                <w:sz w:val="18"/>
                <w:szCs w:val="18"/>
                <w:lang w:val="el-GR"/>
              </w:rPr>
              <w:t xml:space="preserve"> προβλέψεω</w:t>
            </w:r>
            <w:r w:rsidR="00DE54DB">
              <w:rPr>
                <w:rFonts w:cs="Calibri"/>
                <w:bCs/>
                <w:color w:val="81AAD5" w:themeColor="accent1" w:themeTint="99"/>
                <w:sz w:val="18"/>
                <w:szCs w:val="18"/>
                <w:lang w:val="el-GR"/>
              </w:rPr>
              <w:t>ν</w:t>
            </w:r>
            <w:r w:rsidR="005C3B1E" w:rsidRPr="00C74907">
              <w:rPr>
                <w:rFonts w:cs="Calibri"/>
                <w:bCs/>
                <w:color w:val="81AAD5" w:themeColor="accent1" w:themeTint="99"/>
                <w:sz w:val="18"/>
                <w:szCs w:val="18"/>
                <w:lang w:val="el-GR"/>
              </w:rPr>
              <w:t xml:space="preserve"> </w:t>
            </w:r>
            <w:r w:rsidR="009F5496" w:rsidRPr="00C74907">
              <w:rPr>
                <w:rFonts w:cs="Calibri"/>
                <w:bCs/>
                <w:color w:val="81AAD5" w:themeColor="accent1" w:themeTint="99"/>
                <w:sz w:val="18"/>
                <w:szCs w:val="18"/>
                <w:lang w:val="el-GR"/>
              </w:rPr>
              <w:t>κερδοφορία</w:t>
            </w:r>
            <w:r w:rsidR="005C3B1E" w:rsidRPr="00C74907">
              <w:rPr>
                <w:rFonts w:cs="Calibri"/>
                <w:bCs/>
                <w:color w:val="81AAD5" w:themeColor="accent1" w:themeTint="99"/>
                <w:sz w:val="18"/>
                <w:szCs w:val="18"/>
                <w:lang w:val="el-GR"/>
              </w:rPr>
              <w:t xml:space="preserve"> (</w:t>
            </w:r>
            <w:proofErr w:type="spellStart"/>
            <w:r w:rsidR="005C3B1E" w:rsidRPr="00C74907">
              <w:rPr>
                <w:rFonts w:cs="Calibri"/>
                <w:bCs/>
                <w:color w:val="81AAD5" w:themeColor="accent1" w:themeTint="99"/>
                <w:sz w:val="18"/>
                <w:szCs w:val="18"/>
                <w:lang w:val="el-GR"/>
              </w:rPr>
              <w:t>€</w:t>
            </w:r>
            <w:r w:rsidR="009F5496" w:rsidRPr="00C74907">
              <w:rPr>
                <w:rFonts w:cs="Calibri"/>
                <w:bCs/>
                <w:color w:val="81AAD5" w:themeColor="accent1" w:themeTint="99"/>
                <w:sz w:val="18"/>
                <w:szCs w:val="18"/>
                <w:lang w:val="el-GR"/>
              </w:rPr>
              <w:t>εκ</w:t>
            </w:r>
            <w:r w:rsidR="00DE54DB">
              <w:rPr>
                <w:rFonts w:cs="Calibri"/>
                <w:bCs/>
                <w:color w:val="81AAD5" w:themeColor="accent1" w:themeTint="99"/>
                <w:sz w:val="18"/>
                <w:szCs w:val="18"/>
                <w:lang w:val="el-GR"/>
              </w:rPr>
              <w:t>ατ</w:t>
            </w:r>
            <w:proofErr w:type="spellEnd"/>
            <w:r w:rsidR="005C3B1E" w:rsidRPr="00C74907">
              <w:rPr>
                <w:rFonts w:cs="Calibri"/>
                <w:bCs/>
                <w:color w:val="81AAD5" w:themeColor="accent1" w:themeTint="99"/>
                <w:sz w:val="18"/>
                <w:szCs w:val="18"/>
                <w:lang w:val="el-GR"/>
              </w:rPr>
              <w:t>)</w:t>
            </w:r>
            <w:r w:rsidR="00EE21EF">
              <w:rPr>
                <w:rFonts w:cs="Calibri"/>
                <w:bCs/>
                <w:color w:val="81AAD5" w:themeColor="accent1" w:themeTint="99"/>
                <w:sz w:val="18"/>
                <w:szCs w:val="18"/>
                <w:lang w:val="el-GR"/>
              </w:rPr>
              <w:t xml:space="preserve"> </w:t>
            </w:r>
          </w:p>
        </w:tc>
      </w:tr>
      <w:tr w:rsidR="005C3B1E" w:rsidRPr="00C74907" w:rsidTr="005C3B1E">
        <w:trPr>
          <w:trHeight w:val="2041"/>
        </w:trPr>
        <w:tc>
          <w:tcPr>
            <w:tcW w:w="3664" w:type="dxa"/>
            <w:tcBorders>
              <w:top w:val="single" w:sz="4" w:space="0" w:color="FFFFFF" w:themeColor="background1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5C3B1E" w:rsidRPr="00AA192B" w:rsidRDefault="005C3B1E" w:rsidP="005C3B1E">
            <w:pPr>
              <w:pStyle w:val="10TableB"/>
              <w:rPr>
                <w:rFonts w:cs="Calibri"/>
                <w:sz w:val="14"/>
                <w:szCs w:val="18"/>
                <w:lang w:val="el-GR"/>
              </w:rPr>
            </w:pPr>
            <w:r w:rsidRPr="00C74907">
              <w:rPr>
                <w:rFonts w:cs="Calibri"/>
                <w:noProof/>
                <w:sz w:val="14"/>
                <w:szCs w:val="18"/>
                <w:lang w:eastAsia="en-US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page">
                    <wp:posOffset>-8255</wp:posOffset>
                  </wp:positionH>
                  <wp:positionV relativeFrom="page">
                    <wp:posOffset>-167005</wp:posOffset>
                  </wp:positionV>
                  <wp:extent cx="2385060" cy="1438275"/>
                  <wp:effectExtent l="0" t="0" r="0" b="0"/>
                  <wp:wrapNone/>
                  <wp:docPr id="7" name="Γράφημα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anchor>
              </w:drawing>
            </w:r>
          </w:p>
        </w:tc>
      </w:tr>
      <w:tr w:rsidR="005C3B1E" w:rsidRPr="00C74907" w:rsidTr="005C3B1E">
        <w:trPr>
          <w:trHeight w:val="53"/>
        </w:trPr>
        <w:tc>
          <w:tcPr>
            <w:tcW w:w="366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3B1E" w:rsidRPr="00C74907" w:rsidRDefault="005C3B1E" w:rsidP="00DE54DB">
            <w:pPr>
              <w:pStyle w:val="10TableB"/>
              <w:rPr>
                <w:rFonts w:cs="Calibri"/>
                <w:bCs/>
                <w:color w:val="D1AA70" w:themeColor="accent2"/>
                <w:sz w:val="14"/>
                <w:szCs w:val="18"/>
                <w:lang w:val="el-GR"/>
              </w:rPr>
            </w:pPr>
          </w:p>
        </w:tc>
      </w:tr>
      <w:tr w:rsidR="005C3B1E" w:rsidRPr="00C74907" w:rsidTr="005C3B1E">
        <w:trPr>
          <w:trHeight w:val="210"/>
        </w:trPr>
        <w:tc>
          <w:tcPr>
            <w:tcW w:w="3664" w:type="dxa"/>
            <w:tcBorders>
              <w:bottom w:val="single" w:sz="4" w:space="0" w:color="FFFFFF" w:themeColor="background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3B1E" w:rsidRPr="00C74907" w:rsidRDefault="005C3B1E" w:rsidP="009F5496">
            <w:pPr>
              <w:pStyle w:val="10TableB"/>
              <w:rPr>
                <w:rFonts w:cs="Calibri"/>
                <w:color w:val="81AAD5" w:themeColor="accent1" w:themeTint="99"/>
                <w:sz w:val="14"/>
                <w:szCs w:val="18"/>
              </w:rPr>
            </w:pPr>
            <w:r w:rsidRPr="00C74907">
              <w:rPr>
                <w:rFonts w:cs="Calibri"/>
                <w:bCs/>
                <w:color w:val="81AAD5" w:themeColor="accent1" w:themeTint="99"/>
                <w:sz w:val="18"/>
                <w:szCs w:val="18"/>
                <w:lang w:val="en-GB"/>
              </w:rPr>
              <w:t>M</w:t>
            </w:r>
            <w:r w:rsidR="009F5496" w:rsidRPr="00C74907">
              <w:rPr>
                <w:rFonts w:cs="Calibri"/>
                <w:bCs/>
                <w:color w:val="81AAD5" w:themeColor="accent1" w:themeTint="99"/>
                <w:sz w:val="18"/>
                <w:szCs w:val="18"/>
                <w:lang w:val="el-GR"/>
              </w:rPr>
              <w:t>έσο μηνιαίο επιτόκιο καταθέσεων</w:t>
            </w:r>
            <w:r w:rsidRPr="00C74907">
              <w:rPr>
                <w:rFonts w:cs="Calibri"/>
                <w:bCs/>
                <w:color w:val="81AAD5" w:themeColor="accent1" w:themeTint="99"/>
                <w:sz w:val="18"/>
                <w:szCs w:val="18"/>
              </w:rPr>
              <w:t xml:space="preserve"> (%)</w:t>
            </w:r>
          </w:p>
        </w:tc>
      </w:tr>
      <w:tr w:rsidR="005C3B1E" w:rsidRPr="00C74907" w:rsidTr="005C3B1E">
        <w:trPr>
          <w:trHeight w:val="2521"/>
        </w:trPr>
        <w:tc>
          <w:tcPr>
            <w:tcW w:w="3664" w:type="dxa"/>
            <w:tcBorders>
              <w:top w:val="single" w:sz="4" w:space="0" w:color="FFFFFF" w:themeColor="background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3B1E" w:rsidRPr="00C74907" w:rsidRDefault="00C058B0" w:rsidP="005C3B1E">
            <w:pPr>
              <w:pStyle w:val="10TableB"/>
              <w:rPr>
                <w:rFonts w:cs="Calibri"/>
                <w:sz w:val="14"/>
                <w:szCs w:val="18"/>
              </w:rPr>
            </w:pPr>
            <w:r w:rsidRPr="00C058B0">
              <w:rPr>
                <w:rFonts w:cs="Calibri"/>
                <w:noProof/>
                <w:sz w:val="14"/>
                <w:szCs w:val="18"/>
                <w:lang w:val="en-GB"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7" type="#_x0000_t202" style="position:absolute;margin-left:.2pt;margin-top:113.35pt;width:162.35pt;height:16.2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" filled="f" stroked="f" strokeweight=".5pt">
                  <v:path arrowok="t"/>
                  <v:textbox>
                    <w:txbxContent>
                      <w:p w:rsidR="00AA0D5A" w:rsidRPr="00DA22A5" w:rsidRDefault="00AA0D5A" w:rsidP="005C3B1E">
                        <w:pPr>
                          <w:rPr>
                            <w:rFonts w:asciiTheme="majorHAnsi" w:hAnsiTheme="majorHAnsi"/>
                            <w:color w:val="666666" w:themeColor="text1" w:themeTint="99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 w:rsidR="005C3B1E" w:rsidRPr="00C74907">
              <w:rPr>
                <w:rFonts w:cs="Calibri"/>
                <w:noProof/>
                <w:sz w:val="14"/>
                <w:szCs w:val="18"/>
                <w:lang w:eastAsia="en-US"/>
              </w:rPr>
              <w:drawing>
                <wp:inline distT="0" distB="0" distL="0" distR="0">
                  <wp:extent cx="2118094" cy="1626781"/>
                  <wp:effectExtent l="0" t="0" r="0" b="0"/>
                  <wp:docPr id="1" name="Γράφημα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5C3B1E" w:rsidRPr="00C74907" w:rsidTr="005C3B1E">
        <w:trPr>
          <w:trHeight w:val="66"/>
        </w:trPr>
        <w:tc>
          <w:tcPr>
            <w:tcW w:w="3664" w:type="dxa"/>
            <w:tcBorders>
              <w:bottom w:val="single" w:sz="4" w:space="0" w:color="FFFFFF" w:themeColor="background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3B1E" w:rsidRPr="00C74907" w:rsidRDefault="009F5496" w:rsidP="009F5496">
            <w:pPr>
              <w:pStyle w:val="10TableB"/>
              <w:rPr>
                <w:rFonts w:cs="Calibri"/>
                <w:bCs/>
                <w:color w:val="81AAD5" w:themeColor="accent1" w:themeTint="99"/>
                <w:sz w:val="14"/>
                <w:szCs w:val="18"/>
                <w:lang w:val="el-GR"/>
              </w:rPr>
            </w:pPr>
            <w:r w:rsidRPr="00C74907">
              <w:rPr>
                <w:rFonts w:cs="Calibri"/>
                <w:bCs/>
                <w:color w:val="81AAD5" w:themeColor="accent1" w:themeTint="99"/>
                <w:sz w:val="18"/>
                <w:szCs w:val="18"/>
                <w:lang w:val="el-GR"/>
              </w:rPr>
              <w:t>Εργαζόμενοι και Καταστήματα στην Ελλάδα</w:t>
            </w:r>
            <w:r w:rsidR="005C3B1E" w:rsidRPr="00C74907">
              <w:rPr>
                <w:rFonts w:cs="Calibri"/>
                <w:bCs/>
                <w:color w:val="81AAD5" w:themeColor="accent1" w:themeTint="99"/>
                <w:sz w:val="18"/>
                <w:szCs w:val="18"/>
                <w:lang w:val="el-GR"/>
              </w:rPr>
              <w:t xml:space="preserve"> (#)</w:t>
            </w:r>
          </w:p>
        </w:tc>
      </w:tr>
      <w:tr w:rsidR="005C3B1E" w:rsidRPr="00C74907" w:rsidTr="005C3B1E">
        <w:trPr>
          <w:trHeight w:val="2218"/>
        </w:trPr>
        <w:tc>
          <w:tcPr>
            <w:tcW w:w="3664" w:type="dxa"/>
            <w:tcBorders>
              <w:top w:val="single" w:sz="4" w:space="0" w:color="FFFFFF" w:themeColor="background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3B1E" w:rsidRPr="00C74907" w:rsidRDefault="005C3B1E" w:rsidP="005C3B1E">
            <w:pPr>
              <w:pStyle w:val="10TableB"/>
              <w:rPr>
                <w:rFonts w:cs="Calibri"/>
                <w:sz w:val="14"/>
                <w:szCs w:val="18"/>
              </w:rPr>
            </w:pPr>
            <w:r w:rsidRPr="00C74907">
              <w:rPr>
                <w:rFonts w:cs="Calibri"/>
                <w:noProof/>
                <w:sz w:val="14"/>
                <w:szCs w:val="18"/>
                <w:lang w:eastAsia="en-US"/>
              </w:rPr>
              <w:drawing>
                <wp:inline distT="0" distB="0" distL="0" distR="0">
                  <wp:extent cx="2238375" cy="1524000"/>
                  <wp:effectExtent l="0" t="0" r="0" b="0"/>
                  <wp:docPr id="12" name="Γράφημα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5C3B1E" w:rsidRPr="00C74907" w:rsidTr="005C3B1E">
        <w:trPr>
          <w:trHeight w:val="20"/>
        </w:trPr>
        <w:tc>
          <w:tcPr>
            <w:tcW w:w="3664" w:type="dxa"/>
            <w:tcBorders>
              <w:bottom w:val="single" w:sz="4" w:space="0" w:color="FFFFFF" w:themeColor="background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3B1E" w:rsidRPr="00C74907" w:rsidRDefault="009F5496" w:rsidP="009F5496">
            <w:pPr>
              <w:pStyle w:val="10TableB"/>
              <w:rPr>
                <w:rFonts w:cs="Calibri"/>
                <w:color w:val="81AAD5" w:themeColor="accent1" w:themeTint="99"/>
                <w:sz w:val="14"/>
                <w:szCs w:val="18"/>
              </w:rPr>
            </w:pPr>
            <w:r w:rsidRPr="00C74907">
              <w:rPr>
                <w:rFonts w:cs="Calibri"/>
                <w:bCs/>
                <w:color w:val="81AAD5" w:themeColor="accent1" w:themeTint="99"/>
                <w:sz w:val="18"/>
                <w:szCs w:val="18"/>
                <w:lang w:val="el-GR"/>
              </w:rPr>
              <w:t>Προβλέψεις Δανείων</w:t>
            </w:r>
            <w:r w:rsidR="005C3B1E" w:rsidRPr="00C74907">
              <w:rPr>
                <w:rFonts w:cs="Calibri"/>
                <w:bCs/>
                <w:color w:val="81AAD5" w:themeColor="accent1" w:themeTint="99"/>
                <w:sz w:val="18"/>
                <w:szCs w:val="18"/>
              </w:rPr>
              <w:t xml:space="preserve"> (€ </w:t>
            </w:r>
            <w:proofErr w:type="spellStart"/>
            <w:r w:rsidRPr="00C74907">
              <w:rPr>
                <w:rFonts w:cs="Calibri"/>
                <w:bCs/>
                <w:color w:val="81AAD5" w:themeColor="accent1" w:themeTint="99"/>
                <w:sz w:val="18"/>
                <w:szCs w:val="18"/>
                <w:lang w:val="el-GR"/>
              </w:rPr>
              <w:t>δισ</w:t>
            </w:r>
            <w:proofErr w:type="spellEnd"/>
            <w:r w:rsidR="005C3B1E" w:rsidRPr="00C74907">
              <w:rPr>
                <w:rFonts w:cs="Calibri"/>
                <w:bCs/>
                <w:color w:val="81AAD5" w:themeColor="accent1" w:themeTint="99"/>
                <w:sz w:val="18"/>
                <w:szCs w:val="18"/>
              </w:rPr>
              <w:t>)</w:t>
            </w:r>
          </w:p>
        </w:tc>
      </w:tr>
      <w:tr w:rsidR="005C3B1E" w:rsidRPr="00C74907" w:rsidTr="005C3B1E">
        <w:trPr>
          <w:trHeight w:val="174"/>
        </w:trPr>
        <w:tc>
          <w:tcPr>
            <w:tcW w:w="3664" w:type="dxa"/>
            <w:tcBorders>
              <w:top w:val="single" w:sz="4" w:space="0" w:color="FFFFFF" w:themeColor="background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3B1E" w:rsidRPr="00C74907" w:rsidRDefault="005C3B1E" w:rsidP="005C3B1E">
            <w:pPr>
              <w:pStyle w:val="10TableB"/>
              <w:rPr>
                <w:rFonts w:cs="Calibri"/>
                <w:sz w:val="14"/>
                <w:szCs w:val="18"/>
              </w:rPr>
            </w:pPr>
            <w:r w:rsidRPr="00C74907">
              <w:rPr>
                <w:rFonts w:cs="Calibri"/>
                <w:sz w:val="14"/>
                <w:szCs w:val="18"/>
              </w:rPr>
              <w:t xml:space="preserve"> </w:t>
            </w:r>
            <w:r w:rsidRPr="00C74907">
              <w:rPr>
                <w:rFonts w:cs="Calibri"/>
                <w:noProof/>
                <w:sz w:val="14"/>
                <w:szCs w:val="18"/>
                <w:lang w:eastAsia="en-US"/>
              </w:rPr>
              <w:drawing>
                <wp:inline distT="0" distB="0" distL="0" distR="0">
                  <wp:extent cx="2234316" cy="1463040"/>
                  <wp:effectExtent l="0" t="0" r="0" b="0"/>
                  <wp:docPr id="15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C61AEE" w:rsidRDefault="00404408" w:rsidP="00404408">
      <w:pPr>
        <w:pStyle w:val="05PLAINTEXT"/>
        <w:ind w:left="2552" w:right="-285"/>
        <w:rPr>
          <w:rFonts w:cs="Calibri"/>
          <w:lang w:val="el-GR"/>
        </w:rPr>
      </w:pPr>
      <w:r w:rsidRPr="00C74907">
        <w:rPr>
          <w:rFonts w:cs="Calibri"/>
          <w:lang w:val="en-US"/>
        </w:rPr>
        <w:t>H</w:t>
      </w:r>
      <w:r w:rsidRPr="00C74907">
        <w:rPr>
          <w:rFonts w:cs="Calibri"/>
          <w:lang w:val="el-GR"/>
        </w:rPr>
        <w:t xml:space="preserve"> </w:t>
      </w:r>
      <w:r w:rsidRPr="00C74907">
        <w:rPr>
          <w:rFonts w:cs="Calibri"/>
          <w:b/>
          <w:lang w:val="el-GR"/>
        </w:rPr>
        <w:t>προ φόρων και προβλέψεων κερδοφορία</w:t>
      </w:r>
      <w:r w:rsidRPr="00C74907">
        <w:rPr>
          <w:rFonts w:cs="Calibri"/>
          <w:lang w:val="el-GR"/>
        </w:rPr>
        <w:t xml:space="preserve"> του Ομίλου το 1</w:t>
      </w:r>
      <w:r w:rsidRPr="00C74907">
        <w:rPr>
          <w:rFonts w:cs="Calibri"/>
          <w:lang w:val="en-US"/>
        </w:rPr>
        <w:t>o</w:t>
      </w:r>
      <w:r w:rsidRPr="00C74907">
        <w:rPr>
          <w:rFonts w:cs="Calibri"/>
          <w:lang w:val="el-GR"/>
        </w:rPr>
        <w:t xml:space="preserve"> 3μηνο 2016 ανήλθε σε €</w:t>
      </w:r>
      <w:r w:rsidR="00FB384A" w:rsidRPr="00C74907">
        <w:rPr>
          <w:rFonts w:cs="Calibri"/>
          <w:lang w:val="el-GR"/>
        </w:rPr>
        <w:t>2</w:t>
      </w:r>
      <w:r w:rsidR="00FB384A">
        <w:rPr>
          <w:rFonts w:cs="Calibri"/>
          <w:lang w:val="el-GR"/>
        </w:rPr>
        <w:t>6</w:t>
      </w:r>
      <w:r w:rsidR="004D429C" w:rsidRPr="00B8429B">
        <w:rPr>
          <w:rFonts w:cs="Calibri"/>
          <w:lang w:val="el-GR"/>
        </w:rPr>
        <w:t>3</w:t>
      </w:r>
      <w:r w:rsidR="00FB384A" w:rsidRPr="00C74907">
        <w:rPr>
          <w:rFonts w:cs="Calibri"/>
          <w:lang w:val="el-GR"/>
        </w:rPr>
        <w:t xml:space="preserve"> </w:t>
      </w:r>
      <w:r w:rsidRPr="00C74907">
        <w:rPr>
          <w:rFonts w:cs="Calibri"/>
          <w:lang w:val="el-GR"/>
        </w:rPr>
        <w:t xml:space="preserve">εκατ., αυξημένη κατά </w:t>
      </w:r>
      <w:r w:rsidR="004D429C" w:rsidRPr="00B8429B">
        <w:rPr>
          <w:rFonts w:cs="Calibri"/>
          <w:lang w:val="el-GR"/>
        </w:rPr>
        <w:t>9</w:t>
      </w:r>
      <w:r w:rsidRPr="00C74907">
        <w:rPr>
          <w:rFonts w:cs="Calibri"/>
          <w:lang w:val="el-GR"/>
        </w:rPr>
        <w:t>% σε σχέση με το 1ο 3μηνο 2015.</w:t>
      </w:r>
    </w:p>
    <w:p w:rsidR="00C61AEE" w:rsidRDefault="00C61AEE" w:rsidP="00404408">
      <w:pPr>
        <w:pStyle w:val="05PLAINTEXT"/>
        <w:ind w:left="2552" w:right="-285"/>
        <w:rPr>
          <w:rFonts w:cs="Calibri"/>
          <w:lang w:val="el-GR"/>
        </w:rPr>
      </w:pPr>
    </w:p>
    <w:p w:rsidR="00404408" w:rsidRPr="00C74907" w:rsidRDefault="00404408" w:rsidP="00404408">
      <w:pPr>
        <w:pStyle w:val="05PLAINTEXT"/>
        <w:ind w:left="2552" w:right="-285"/>
        <w:rPr>
          <w:rFonts w:cs="Calibri"/>
          <w:lang w:val="el-GR"/>
        </w:rPr>
      </w:pPr>
      <w:r w:rsidRPr="00C74907">
        <w:rPr>
          <w:rFonts w:cs="Calibri"/>
          <w:lang w:val="el-GR"/>
        </w:rPr>
        <w:t xml:space="preserve">Τα </w:t>
      </w:r>
      <w:r w:rsidRPr="00C74907">
        <w:rPr>
          <w:rFonts w:cs="Calibri"/>
          <w:b/>
          <w:lang w:val="el-GR"/>
        </w:rPr>
        <w:t>καθαρά έντοκα έσοδα</w:t>
      </w:r>
      <w:r w:rsidRPr="00C74907">
        <w:rPr>
          <w:rFonts w:cs="Calibri"/>
          <w:lang w:val="el-GR"/>
        </w:rPr>
        <w:t xml:space="preserve"> διαμορφώθηκαν σε €478 εκατ., αυξημένα κατά 3% σε τριμηνιαία βάση, μειωμένα κατά 2% σε ετήσια βάση. Η αρνητική επίδραση στα έντοκα έσοδα από την περαιτέρω </w:t>
      </w:r>
      <w:proofErr w:type="spellStart"/>
      <w:r w:rsidRPr="00C74907">
        <w:rPr>
          <w:rFonts w:cs="Calibri"/>
          <w:lang w:val="el-GR"/>
        </w:rPr>
        <w:t>απομόχλευση</w:t>
      </w:r>
      <w:proofErr w:type="spellEnd"/>
      <w:r w:rsidRPr="00C74907">
        <w:rPr>
          <w:rFonts w:cs="Calibri"/>
          <w:lang w:val="el-GR"/>
        </w:rPr>
        <w:t xml:space="preserve"> του δανειακού χαρτοφυλακίου </w:t>
      </w:r>
      <w:r w:rsidR="008C4A93">
        <w:rPr>
          <w:rFonts w:cs="Calibri"/>
          <w:lang w:val="el-GR"/>
        </w:rPr>
        <w:t>κατά το</w:t>
      </w:r>
      <w:r w:rsidRPr="00C74907">
        <w:rPr>
          <w:rFonts w:cs="Calibri"/>
          <w:lang w:val="el-GR"/>
        </w:rPr>
        <w:t xml:space="preserve"> 1ο 3μηνο </w:t>
      </w:r>
      <w:r w:rsidR="008C4A93">
        <w:rPr>
          <w:rFonts w:cs="Calibri"/>
          <w:lang w:val="el-GR"/>
        </w:rPr>
        <w:t>20</w:t>
      </w:r>
      <w:r w:rsidRPr="00C74907">
        <w:rPr>
          <w:rFonts w:cs="Calibri"/>
          <w:lang w:val="el-GR"/>
        </w:rPr>
        <w:t>16 αντισταθμίσ</w:t>
      </w:r>
      <w:r w:rsidR="008C4A93">
        <w:rPr>
          <w:rFonts w:cs="Calibri"/>
          <w:lang w:val="el-GR"/>
        </w:rPr>
        <w:t>θ</w:t>
      </w:r>
      <w:r w:rsidRPr="00C74907">
        <w:rPr>
          <w:rFonts w:cs="Calibri"/>
          <w:lang w:val="el-GR"/>
        </w:rPr>
        <w:t xml:space="preserve">ηκε από τη συνεχιζόμενη αποκλιμάκωση του μέσου κόστους των καταθέσεων στην Ελλάδα, το οποίο διαμορφώθηκε σε 59 </w:t>
      </w:r>
      <w:proofErr w:type="spellStart"/>
      <w:r w:rsidRPr="00C74907">
        <w:rPr>
          <w:rFonts w:cs="Calibri"/>
          <w:lang w:val="el-GR"/>
        </w:rPr>
        <w:t>μ.β</w:t>
      </w:r>
      <w:proofErr w:type="spellEnd"/>
      <w:r w:rsidRPr="00C74907">
        <w:rPr>
          <w:rFonts w:cs="Calibri"/>
          <w:lang w:val="el-GR"/>
        </w:rPr>
        <w:t xml:space="preserve">. από 65 </w:t>
      </w:r>
      <w:proofErr w:type="spellStart"/>
      <w:r w:rsidRPr="00C74907">
        <w:rPr>
          <w:rFonts w:cs="Calibri"/>
          <w:lang w:val="el-GR"/>
        </w:rPr>
        <w:t>μ.β</w:t>
      </w:r>
      <w:proofErr w:type="spellEnd"/>
      <w:r w:rsidRPr="00C74907">
        <w:rPr>
          <w:rFonts w:cs="Calibri"/>
          <w:lang w:val="el-GR"/>
        </w:rPr>
        <w:t xml:space="preserve">. το 4ο 3μηνο </w:t>
      </w:r>
      <w:r w:rsidR="00D74FE2">
        <w:rPr>
          <w:rFonts w:cs="Calibri"/>
          <w:lang w:val="el-GR"/>
        </w:rPr>
        <w:t>20</w:t>
      </w:r>
      <w:r w:rsidRPr="00C74907">
        <w:rPr>
          <w:rFonts w:cs="Calibri"/>
          <w:lang w:val="el-GR"/>
        </w:rPr>
        <w:t xml:space="preserve">15 και </w:t>
      </w:r>
      <w:r w:rsidR="00D74FE2">
        <w:rPr>
          <w:rFonts w:cs="Calibri"/>
          <w:lang w:val="el-GR"/>
        </w:rPr>
        <w:t>115</w:t>
      </w:r>
      <w:r w:rsidRPr="00C74907">
        <w:rPr>
          <w:rFonts w:cs="Calibri"/>
          <w:lang w:val="el-GR"/>
        </w:rPr>
        <w:t xml:space="preserve"> </w:t>
      </w:r>
      <w:proofErr w:type="spellStart"/>
      <w:r w:rsidRPr="00C74907">
        <w:rPr>
          <w:rFonts w:cs="Calibri"/>
          <w:lang w:val="el-GR"/>
        </w:rPr>
        <w:t>μ.β</w:t>
      </w:r>
      <w:proofErr w:type="spellEnd"/>
      <w:r w:rsidRPr="00C74907">
        <w:rPr>
          <w:rFonts w:cs="Calibri"/>
          <w:lang w:val="el-GR"/>
        </w:rPr>
        <w:t xml:space="preserve">. το </w:t>
      </w:r>
      <w:r w:rsidR="00D74FE2">
        <w:rPr>
          <w:rFonts w:cs="Calibri"/>
          <w:lang w:val="el-GR"/>
        </w:rPr>
        <w:t>1ο 3</w:t>
      </w:r>
      <w:r w:rsidRPr="00C74907">
        <w:rPr>
          <w:rFonts w:cs="Calibri"/>
          <w:lang w:val="el-GR"/>
        </w:rPr>
        <w:t>μηνο</w:t>
      </w:r>
      <w:r w:rsidR="00D74FE2">
        <w:rPr>
          <w:rFonts w:cs="Calibri"/>
          <w:lang w:val="el-GR"/>
        </w:rPr>
        <w:t xml:space="preserve"> 2015</w:t>
      </w:r>
      <w:r w:rsidRPr="00C74907">
        <w:rPr>
          <w:rFonts w:cs="Calibri"/>
          <w:lang w:val="el-GR"/>
        </w:rPr>
        <w:t xml:space="preserve">. Θετική επίδραση στα έντοκα έσοδα είχε και ο περιορισμός χρήσης </w:t>
      </w:r>
      <w:r w:rsidR="00D74FE2">
        <w:rPr>
          <w:rFonts w:cs="Calibri"/>
          <w:lang w:val="el-GR"/>
        </w:rPr>
        <w:t xml:space="preserve">των </w:t>
      </w:r>
      <w:r w:rsidRPr="00C74907">
        <w:rPr>
          <w:rFonts w:cs="Calibri"/>
          <w:lang w:val="el-GR"/>
        </w:rPr>
        <w:t>εγγυήσεων</w:t>
      </w:r>
      <w:r w:rsidR="00D74FE2">
        <w:rPr>
          <w:rFonts w:cs="Calibri"/>
          <w:lang w:val="el-GR"/>
        </w:rPr>
        <w:t xml:space="preserve"> του</w:t>
      </w:r>
      <w:r w:rsidRPr="00C74907">
        <w:rPr>
          <w:rFonts w:cs="Calibri"/>
          <w:lang w:val="el-GR"/>
        </w:rPr>
        <w:t xml:space="preserve"> Ν.3723</w:t>
      </w:r>
      <w:r w:rsidR="00D74FE2">
        <w:rPr>
          <w:rFonts w:cs="Calibri"/>
          <w:lang w:val="el-GR"/>
        </w:rPr>
        <w:t>/2008</w:t>
      </w:r>
      <w:r w:rsidRPr="00C74907">
        <w:rPr>
          <w:rFonts w:cs="Calibri"/>
          <w:lang w:val="el-GR"/>
        </w:rPr>
        <w:t xml:space="preserve">, </w:t>
      </w:r>
      <w:r w:rsidR="00D74FE2">
        <w:rPr>
          <w:rFonts w:cs="Calibri"/>
          <w:lang w:val="el-GR"/>
        </w:rPr>
        <w:t xml:space="preserve">καθώς και η μείωση στη χρήση ρευστότητας μέσω μηχανισμού </w:t>
      </w:r>
      <w:r w:rsidR="00D74FE2">
        <w:rPr>
          <w:rFonts w:cs="Calibri"/>
          <w:lang w:val="en-US"/>
        </w:rPr>
        <w:t>ELA</w:t>
      </w:r>
      <w:r w:rsidR="00D74FE2" w:rsidRPr="00D74FE2">
        <w:rPr>
          <w:rFonts w:cs="Calibri"/>
          <w:lang w:val="el-GR"/>
        </w:rPr>
        <w:t>.</w:t>
      </w:r>
      <w:r w:rsidRPr="00C74907">
        <w:rPr>
          <w:rFonts w:cs="Calibri"/>
          <w:lang w:val="el-GR"/>
        </w:rPr>
        <w:t xml:space="preserve"> </w:t>
      </w:r>
    </w:p>
    <w:p w:rsidR="00404408" w:rsidRPr="00C74907" w:rsidRDefault="00404408" w:rsidP="00404408">
      <w:pPr>
        <w:pStyle w:val="05PLAINTEXT"/>
        <w:ind w:left="2552" w:right="-285"/>
        <w:rPr>
          <w:rFonts w:cs="Calibri"/>
          <w:lang w:val="el-GR"/>
        </w:rPr>
      </w:pPr>
    </w:p>
    <w:p w:rsidR="00404408" w:rsidRPr="00C74907" w:rsidRDefault="00404408" w:rsidP="00404408">
      <w:pPr>
        <w:pStyle w:val="05PLAINTEXT"/>
        <w:ind w:left="2552" w:right="-285"/>
        <w:rPr>
          <w:rFonts w:cs="Calibri"/>
          <w:lang w:val="el-GR"/>
        </w:rPr>
      </w:pPr>
      <w:r w:rsidRPr="00C74907">
        <w:rPr>
          <w:rFonts w:cs="Calibri"/>
          <w:lang w:val="el-GR"/>
        </w:rPr>
        <w:t>Το</w:t>
      </w:r>
      <w:r w:rsidRPr="00C74907">
        <w:rPr>
          <w:rFonts w:cs="Calibri"/>
          <w:b/>
          <w:lang w:val="el-GR"/>
        </w:rPr>
        <w:t xml:space="preserve"> καθαρό </w:t>
      </w:r>
      <w:proofErr w:type="spellStart"/>
      <w:r w:rsidRPr="00C74907">
        <w:rPr>
          <w:rFonts w:cs="Calibri"/>
          <w:b/>
          <w:lang w:val="el-GR"/>
        </w:rPr>
        <w:t>επιτοκιακό</w:t>
      </w:r>
      <w:proofErr w:type="spellEnd"/>
      <w:r w:rsidRPr="00C74907">
        <w:rPr>
          <w:rFonts w:cs="Calibri"/>
          <w:b/>
          <w:lang w:val="el-GR"/>
        </w:rPr>
        <w:t xml:space="preserve"> περιθώριο (</w:t>
      </w:r>
      <w:r w:rsidRPr="00C74907">
        <w:rPr>
          <w:rFonts w:cs="Calibri"/>
          <w:b/>
          <w:lang w:val="en-US"/>
        </w:rPr>
        <w:t>NIM</w:t>
      </w:r>
      <w:r w:rsidRPr="00C74907">
        <w:rPr>
          <w:rFonts w:cs="Calibri"/>
          <w:b/>
          <w:lang w:val="el-GR"/>
        </w:rPr>
        <w:t>)</w:t>
      </w:r>
      <w:r w:rsidRPr="00C74907">
        <w:rPr>
          <w:rFonts w:cs="Calibri"/>
          <w:lang w:val="el-GR"/>
        </w:rPr>
        <w:t xml:space="preserve"> του Ομίλου για το 1</w:t>
      </w:r>
      <w:r w:rsidRPr="00C74907">
        <w:rPr>
          <w:rFonts w:cs="Calibri"/>
          <w:lang w:val="en-US"/>
        </w:rPr>
        <w:t>o</w:t>
      </w:r>
      <w:r w:rsidRPr="00C74907">
        <w:rPr>
          <w:rFonts w:cs="Calibri"/>
          <w:lang w:val="el-GR"/>
        </w:rPr>
        <w:t xml:space="preserve"> 3μηνο 2016  ανήλθε σε 281 </w:t>
      </w:r>
      <w:proofErr w:type="spellStart"/>
      <w:r w:rsidRPr="00C74907">
        <w:rPr>
          <w:rFonts w:cs="Calibri"/>
          <w:lang w:val="el-GR"/>
        </w:rPr>
        <w:t>μ.β</w:t>
      </w:r>
      <w:proofErr w:type="spellEnd"/>
      <w:r w:rsidRPr="00C74907">
        <w:rPr>
          <w:rFonts w:cs="Calibri"/>
          <w:lang w:val="el-GR"/>
        </w:rPr>
        <w:t xml:space="preserve">. έναντι 269 </w:t>
      </w:r>
      <w:proofErr w:type="spellStart"/>
      <w:r w:rsidRPr="00C74907">
        <w:rPr>
          <w:rFonts w:cs="Calibri"/>
          <w:lang w:val="el-GR"/>
        </w:rPr>
        <w:t>μ.β</w:t>
      </w:r>
      <w:proofErr w:type="spellEnd"/>
      <w:r w:rsidRPr="00C74907">
        <w:rPr>
          <w:rFonts w:cs="Calibri"/>
          <w:lang w:val="el-GR"/>
        </w:rPr>
        <w:t xml:space="preserve">. το αμέσως προηγούμενο 3μηνο (ως ποσοστό του ενεργητικού εξαιρουμένων των ομολόγων </w:t>
      </w:r>
      <w:r w:rsidRPr="00C74907">
        <w:rPr>
          <w:rFonts w:cs="Calibri"/>
          <w:lang w:val="en-US"/>
        </w:rPr>
        <w:t>EFSF</w:t>
      </w:r>
      <w:r w:rsidRPr="00C74907">
        <w:rPr>
          <w:rFonts w:cs="Calibri"/>
          <w:lang w:val="el-GR"/>
        </w:rPr>
        <w:t>/</w:t>
      </w:r>
      <w:r w:rsidRPr="00C74907">
        <w:rPr>
          <w:rFonts w:cs="Calibri"/>
          <w:lang w:val="en-US"/>
        </w:rPr>
        <w:t>ESM</w:t>
      </w:r>
      <w:r w:rsidRPr="00C74907">
        <w:rPr>
          <w:rFonts w:cs="Calibri"/>
          <w:lang w:val="el-GR"/>
        </w:rPr>
        <w:t>). Τα καθαρά έσοδα τόκων της δραστηριότητας στην Ελλάδα διαμορφώθηκαν το 1</w:t>
      </w:r>
      <w:r w:rsidRPr="00C74907">
        <w:rPr>
          <w:rFonts w:cs="Calibri"/>
          <w:lang w:val="en-US"/>
        </w:rPr>
        <w:t>o</w:t>
      </w:r>
      <w:r w:rsidRPr="00C74907">
        <w:rPr>
          <w:rFonts w:cs="Calibri"/>
          <w:lang w:val="el-GR"/>
        </w:rPr>
        <w:t xml:space="preserve"> 3μήνο 2016 σε €</w:t>
      </w:r>
      <w:r w:rsidR="00513838" w:rsidRPr="00513838">
        <w:rPr>
          <w:rFonts w:cs="Calibri"/>
          <w:lang w:val="el-GR"/>
        </w:rPr>
        <w:t>440</w:t>
      </w:r>
      <w:r w:rsidRPr="00C74907">
        <w:rPr>
          <w:rFonts w:cs="Calibri"/>
          <w:lang w:val="el-GR"/>
        </w:rPr>
        <w:t xml:space="preserve"> εκατ., ενώ του εξωτερικού σε €</w:t>
      </w:r>
      <w:r w:rsidR="00513838" w:rsidRPr="00B8429B">
        <w:rPr>
          <w:rFonts w:cs="Calibri"/>
          <w:lang w:val="el-GR"/>
        </w:rPr>
        <w:t>38</w:t>
      </w:r>
      <w:r w:rsidRPr="00C74907">
        <w:rPr>
          <w:rFonts w:cs="Calibri"/>
          <w:lang w:val="el-GR"/>
        </w:rPr>
        <w:t xml:space="preserve"> εκατ.</w:t>
      </w:r>
    </w:p>
    <w:p w:rsidR="00404408" w:rsidRPr="00C74907" w:rsidRDefault="00404408" w:rsidP="00404408">
      <w:pPr>
        <w:pStyle w:val="05PLAINTEXT"/>
        <w:ind w:left="2552" w:right="-285"/>
        <w:rPr>
          <w:rFonts w:cs="Calibri"/>
          <w:lang w:val="el-GR"/>
        </w:rPr>
      </w:pPr>
      <w:r w:rsidRPr="00C74907">
        <w:rPr>
          <w:rFonts w:cs="Calibri"/>
          <w:lang w:val="el-GR"/>
        </w:rPr>
        <w:t xml:space="preserve"> </w:t>
      </w:r>
    </w:p>
    <w:p w:rsidR="00404408" w:rsidRPr="00C74907" w:rsidRDefault="00404408" w:rsidP="00404408">
      <w:pPr>
        <w:pStyle w:val="05PLAINTEXT"/>
        <w:ind w:left="2552" w:right="-285"/>
        <w:rPr>
          <w:rFonts w:cs="Calibri"/>
          <w:lang w:val="el-GR"/>
        </w:rPr>
      </w:pPr>
      <w:r w:rsidRPr="00C74907">
        <w:rPr>
          <w:rFonts w:cs="Calibri"/>
          <w:lang w:val="el-GR"/>
        </w:rPr>
        <w:t xml:space="preserve">Τα </w:t>
      </w:r>
      <w:r w:rsidRPr="00C74907">
        <w:rPr>
          <w:rFonts w:cs="Calibri"/>
          <w:b/>
          <w:lang w:val="el-GR"/>
        </w:rPr>
        <w:t>καθαρά έσοδα προμηθειών</w:t>
      </w:r>
      <w:r w:rsidRPr="00C74907">
        <w:rPr>
          <w:rFonts w:cs="Calibri"/>
          <w:lang w:val="el-GR"/>
        </w:rPr>
        <w:t xml:space="preserve"> διαμορφώθηκαν σε €74 εκατ. το 1ο 3μηνο 2016 μειωμένα κατά 6% σε τριμηνιαία και ετήσια βάση κυρίως λόγω των οικονομικών εξελίξεων που επηρέασαν αρνητικά τις προμήθειες δανείων. Τα καθαρά έσοδα προμηθειών (ως ποσοστό του ενεργητικού εξαιρουμένων των ομολόγων </w:t>
      </w:r>
      <w:r w:rsidRPr="00C74907">
        <w:rPr>
          <w:rFonts w:cs="Calibri"/>
          <w:lang w:val="en-US"/>
        </w:rPr>
        <w:t>EFSF</w:t>
      </w:r>
      <w:r w:rsidRPr="00C74907">
        <w:rPr>
          <w:rFonts w:cs="Calibri"/>
          <w:lang w:val="el-GR"/>
        </w:rPr>
        <w:t>/</w:t>
      </w:r>
      <w:r w:rsidRPr="00C74907">
        <w:rPr>
          <w:rFonts w:cs="Calibri"/>
          <w:lang w:val="en-US"/>
        </w:rPr>
        <w:t>ESM</w:t>
      </w:r>
      <w:r w:rsidRPr="00C74907">
        <w:rPr>
          <w:rFonts w:cs="Calibri"/>
          <w:lang w:val="el-GR"/>
        </w:rPr>
        <w:t xml:space="preserve">) διαμορφώθηκαν στις 43 </w:t>
      </w:r>
      <w:proofErr w:type="spellStart"/>
      <w:r w:rsidRPr="00C74907">
        <w:rPr>
          <w:rFonts w:cs="Calibri"/>
          <w:lang w:val="el-GR"/>
        </w:rPr>
        <w:t>μ.β</w:t>
      </w:r>
      <w:proofErr w:type="spellEnd"/>
      <w:r w:rsidRPr="00C74907">
        <w:rPr>
          <w:rFonts w:cs="Calibri"/>
          <w:lang w:val="el-GR"/>
        </w:rPr>
        <w:t xml:space="preserve">. το 1ο 3μηνο 2016.  Τα καθαρά έσοδα προμηθειών της δραστηριότητας στην Ελλάδα διαμορφώθηκαν το </w:t>
      </w:r>
      <w:r w:rsidR="00513838" w:rsidRPr="00B8429B">
        <w:rPr>
          <w:rFonts w:cs="Calibri"/>
          <w:lang w:val="el-GR"/>
        </w:rPr>
        <w:t>1</w:t>
      </w:r>
      <w:r w:rsidR="00513838">
        <w:rPr>
          <w:rFonts w:cs="Calibri"/>
          <w:lang w:val="en-US"/>
        </w:rPr>
        <w:t>o</w:t>
      </w:r>
      <w:r w:rsidR="00513838" w:rsidRPr="00B8429B">
        <w:rPr>
          <w:rFonts w:cs="Calibri"/>
          <w:lang w:val="el-GR"/>
        </w:rPr>
        <w:t xml:space="preserve"> 3</w:t>
      </w:r>
      <w:r w:rsidR="00513838">
        <w:rPr>
          <w:rFonts w:cs="Calibri"/>
          <w:lang w:val="el-GR"/>
        </w:rPr>
        <w:t xml:space="preserve">μηνο ’16 </w:t>
      </w:r>
      <w:r w:rsidRPr="00C74907">
        <w:rPr>
          <w:rFonts w:cs="Calibri"/>
          <w:lang w:val="el-GR"/>
        </w:rPr>
        <w:t>σε €</w:t>
      </w:r>
      <w:r w:rsidR="00513838">
        <w:rPr>
          <w:rFonts w:cs="Calibri"/>
          <w:lang w:val="el-GR"/>
        </w:rPr>
        <w:t>66</w:t>
      </w:r>
      <w:r w:rsidRPr="00C74907">
        <w:rPr>
          <w:rFonts w:cs="Calibri"/>
          <w:lang w:val="el-GR"/>
        </w:rPr>
        <w:t xml:space="preserve"> εκατ., ενώ του εξωτερικού σε €</w:t>
      </w:r>
      <w:r w:rsidR="00513838">
        <w:rPr>
          <w:rFonts w:cs="Calibri"/>
          <w:lang w:val="el-GR"/>
        </w:rPr>
        <w:t>7</w:t>
      </w:r>
      <w:r w:rsidRPr="00C74907">
        <w:rPr>
          <w:rFonts w:cs="Calibri"/>
          <w:lang w:val="el-GR"/>
        </w:rPr>
        <w:t xml:space="preserve"> εκατ.</w:t>
      </w:r>
    </w:p>
    <w:p w:rsidR="00404408" w:rsidRPr="00C74907" w:rsidRDefault="00404408" w:rsidP="00404408">
      <w:pPr>
        <w:pStyle w:val="05PLAINTEXT"/>
        <w:ind w:left="2552" w:right="-285"/>
        <w:rPr>
          <w:rFonts w:cs="Calibri"/>
          <w:lang w:val="el-GR"/>
        </w:rPr>
      </w:pPr>
    </w:p>
    <w:p w:rsidR="00404408" w:rsidRPr="00C74907" w:rsidRDefault="00404408" w:rsidP="00404408">
      <w:pPr>
        <w:pStyle w:val="05PLAINTEXT"/>
        <w:ind w:left="2552" w:right="-285"/>
        <w:rPr>
          <w:rFonts w:cs="Calibri"/>
          <w:lang w:val="el-GR"/>
        </w:rPr>
      </w:pPr>
      <w:r w:rsidRPr="00C74907">
        <w:rPr>
          <w:rFonts w:cs="Calibri"/>
          <w:lang w:val="el-GR"/>
        </w:rPr>
        <w:t xml:space="preserve">Τα </w:t>
      </w:r>
      <w:r w:rsidRPr="00C74907">
        <w:rPr>
          <w:rFonts w:cs="Calibri"/>
          <w:b/>
          <w:lang w:val="el-GR"/>
        </w:rPr>
        <w:t>έξοδα λειτουργίας</w:t>
      </w:r>
      <w:r w:rsidRPr="00C74907">
        <w:rPr>
          <w:rFonts w:cs="Calibri"/>
          <w:lang w:val="el-GR"/>
        </w:rPr>
        <w:t xml:space="preserve"> του Ομίλου διαμορφώθηκαν το 1ο 3μηνο 2016 σε €</w:t>
      </w:r>
      <w:r w:rsidR="00FB384A" w:rsidRPr="00C74907">
        <w:rPr>
          <w:rFonts w:cs="Calibri"/>
          <w:lang w:val="el-GR"/>
        </w:rPr>
        <w:t>3</w:t>
      </w:r>
      <w:r w:rsidR="00FB384A">
        <w:rPr>
          <w:rFonts w:cs="Calibri"/>
          <w:lang w:val="el-GR"/>
        </w:rPr>
        <w:t>1</w:t>
      </w:r>
      <w:r w:rsidR="00DE54DB">
        <w:rPr>
          <w:rFonts w:cs="Calibri"/>
          <w:lang w:val="el-GR"/>
        </w:rPr>
        <w:t>8</w:t>
      </w:r>
      <w:r w:rsidR="00FB384A" w:rsidRPr="00C74907">
        <w:rPr>
          <w:rFonts w:cs="Calibri"/>
          <w:lang w:val="el-GR"/>
        </w:rPr>
        <w:t xml:space="preserve"> </w:t>
      </w:r>
      <w:r w:rsidRPr="00C74907">
        <w:rPr>
          <w:rFonts w:cs="Calibri"/>
          <w:lang w:val="el-GR"/>
        </w:rPr>
        <w:t xml:space="preserve">εκατ., παρουσιάζοντας μείωση κατά </w:t>
      </w:r>
      <w:r w:rsidR="00DE54DB">
        <w:rPr>
          <w:rFonts w:cs="Calibri"/>
          <w:lang w:val="el-GR"/>
        </w:rPr>
        <w:t>3</w:t>
      </w:r>
      <w:r w:rsidRPr="00C74907">
        <w:rPr>
          <w:rFonts w:cs="Calibri"/>
          <w:lang w:val="el-GR"/>
        </w:rPr>
        <w:t xml:space="preserve">% σε τριμηνιαία </w:t>
      </w:r>
      <w:r w:rsidR="00144911">
        <w:rPr>
          <w:rFonts w:cs="Calibri"/>
          <w:lang w:val="el-GR"/>
        </w:rPr>
        <w:t>βάση</w:t>
      </w:r>
      <w:r w:rsidRPr="00C74907">
        <w:rPr>
          <w:rFonts w:cs="Calibri"/>
          <w:lang w:val="el-GR"/>
        </w:rPr>
        <w:t>. Ο δείκτης κόστους προς έσοδα το</w:t>
      </w:r>
      <w:r w:rsidR="00144911">
        <w:rPr>
          <w:rFonts w:cs="Calibri"/>
          <w:lang w:val="el-GR"/>
        </w:rPr>
        <w:t xml:space="preserve"> 1ο 3μηνο 2016</w:t>
      </w:r>
      <w:r w:rsidRPr="00C74907">
        <w:rPr>
          <w:rFonts w:cs="Calibri"/>
          <w:lang w:val="el-GR"/>
        </w:rPr>
        <w:t xml:space="preserve"> διαμορφώθηκε στο </w:t>
      </w:r>
      <w:r w:rsidR="00FB384A" w:rsidRPr="00C74907">
        <w:rPr>
          <w:rFonts w:cs="Calibri"/>
          <w:lang w:val="el-GR"/>
        </w:rPr>
        <w:t>5</w:t>
      </w:r>
      <w:r w:rsidR="00FB384A">
        <w:rPr>
          <w:rFonts w:cs="Calibri"/>
          <w:lang w:val="el-GR"/>
        </w:rPr>
        <w:t>4</w:t>
      </w:r>
      <w:r w:rsidRPr="00C74907">
        <w:rPr>
          <w:rFonts w:cs="Calibri"/>
          <w:lang w:val="el-GR"/>
        </w:rPr>
        <w:t>%.</w:t>
      </w:r>
      <w:r w:rsidR="00233C11" w:rsidRPr="004F197F">
        <w:rPr>
          <w:rFonts w:cs="Calibri"/>
          <w:lang w:val="el-GR"/>
        </w:rPr>
        <w:t xml:space="preserve"> </w:t>
      </w:r>
      <w:r w:rsidRPr="00C74907">
        <w:rPr>
          <w:rFonts w:cs="Calibri"/>
          <w:lang w:val="el-GR"/>
        </w:rPr>
        <w:t xml:space="preserve"> </w:t>
      </w:r>
    </w:p>
    <w:p w:rsidR="00404408" w:rsidRPr="00C74907" w:rsidRDefault="00404408" w:rsidP="00404408">
      <w:pPr>
        <w:pStyle w:val="05PLAINTEXT"/>
        <w:ind w:left="2552" w:right="-285"/>
        <w:rPr>
          <w:rFonts w:cs="Calibri"/>
          <w:lang w:val="el-GR"/>
        </w:rPr>
      </w:pPr>
    </w:p>
    <w:p w:rsidR="00404408" w:rsidRPr="00C74907" w:rsidRDefault="00404408" w:rsidP="00404408">
      <w:pPr>
        <w:pStyle w:val="05PLAINTEXT"/>
        <w:ind w:left="2552" w:right="-285"/>
        <w:rPr>
          <w:lang w:val="el-GR"/>
        </w:rPr>
      </w:pPr>
      <w:r w:rsidRPr="00C74907">
        <w:rPr>
          <w:lang w:val="el-GR"/>
        </w:rPr>
        <w:t>Στο πλαίσιο των δεσμεύσεων του Σχεδίου Αναδιάρθρωσ</w:t>
      </w:r>
      <w:r w:rsidR="00D1644A">
        <w:rPr>
          <w:lang w:val="el-GR"/>
        </w:rPr>
        <w:t>η</w:t>
      </w:r>
      <w:r w:rsidRPr="00C74907">
        <w:rPr>
          <w:lang w:val="el-GR"/>
        </w:rPr>
        <w:t xml:space="preserve">ς της Τράπεζας, ολοκληρώθηκε εντός του </w:t>
      </w:r>
      <w:r w:rsidR="005A5F06">
        <w:rPr>
          <w:lang w:val="el-GR"/>
        </w:rPr>
        <w:t>2</w:t>
      </w:r>
      <w:r w:rsidR="005A5F06" w:rsidRPr="00C74907">
        <w:rPr>
          <w:lang w:val="el-GR"/>
        </w:rPr>
        <w:t xml:space="preserve">ου </w:t>
      </w:r>
      <w:r w:rsidRPr="00C74907">
        <w:rPr>
          <w:lang w:val="el-GR"/>
        </w:rPr>
        <w:t xml:space="preserve">3μήνου 2016 πρόγραμμα αποχώρησης προσωπικού. Το σύνολο των αποζημιώσεων που καταβλήθηκαν, ισοδυναμεί με αποδοχές περίπου δύο ετών, </w:t>
      </w:r>
      <w:r w:rsidRPr="00144911">
        <w:rPr>
          <w:lang w:val="el-GR"/>
        </w:rPr>
        <w:t>για</w:t>
      </w:r>
      <w:r w:rsidR="00144911">
        <w:rPr>
          <w:lang w:val="el-GR"/>
        </w:rPr>
        <w:t xml:space="preserve"> περίπου</w:t>
      </w:r>
      <w:r w:rsidRPr="00144911">
        <w:rPr>
          <w:lang w:val="el-GR"/>
        </w:rPr>
        <w:t xml:space="preserve"> 1.0</w:t>
      </w:r>
      <w:r w:rsidR="00144911" w:rsidRPr="00144911">
        <w:rPr>
          <w:lang w:val="el-GR"/>
        </w:rPr>
        <w:t>0</w:t>
      </w:r>
      <w:r w:rsidR="00144911">
        <w:rPr>
          <w:lang w:val="el-GR"/>
        </w:rPr>
        <w:t>0</w:t>
      </w:r>
      <w:r w:rsidRPr="00144911">
        <w:rPr>
          <w:lang w:val="el-GR"/>
        </w:rPr>
        <w:t xml:space="preserve"> εργαζομένους</w:t>
      </w:r>
      <w:r w:rsidR="00144911">
        <w:rPr>
          <w:lang w:val="el-GR"/>
        </w:rPr>
        <w:t xml:space="preserve"> </w:t>
      </w:r>
      <w:r w:rsidRPr="00C74907">
        <w:rPr>
          <w:lang w:val="el-GR"/>
        </w:rPr>
        <w:t xml:space="preserve">που συμμετείχαν στο πρόγραμμα. </w:t>
      </w:r>
      <w:r w:rsidR="00197289" w:rsidRPr="00C74907">
        <w:rPr>
          <w:lang w:val="el-GR"/>
        </w:rPr>
        <w:t xml:space="preserve">Η παραπάνω μείωση </w:t>
      </w:r>
      <w:r w:rsidR="00864618">
        <w:rPr>
          <w:lang w:val="el-GR"/>
        </w:rPr>
        <w:t>εργαζομένων</w:t>
      </w:r>
      <w:r w:rsidR="00197289" w:rsidRPr="00C74907">
        <w:rPr>
          <w:lang w:val="el-GR"/>
        </w:rPr>
        <w:t xml:space="preserve"> θα περιορίσει τις δαπάνες προσωπικού</w:t>
      </w:r>
      <w:r w:rsidR="009909CF" w:rsidRPr="000B396F">
        <w:rPr>
          <w:lang w:val="el-GR"/>
        </w:rPr>
        <w:t xml:space="preserve"> </w:t>
      </w:r>
      <w:r w:rsidR="009909CF">
        <w:rPr>
          <w:lang w:val="el-GR"/>
        </w:rPr>
        <w:t>ετησίως</w:t>
      </w:r>
      <w:r w:rsidR="00197289" w:rsidRPr="00C74907">
        <w:rPr>
          <w:lang w:val="el-GR"/>
        </w:rPr>
        <w:t xml:space="preserve"> κατά </w:t>
      </w:r>
      <w:r w:rsidR="00144911">
        <w:rPr>
          <w:lang w:val="el-GR"/>
        </w:rPr>
        <w:t xml:space="preserve">περίπου </w:t>
      </w:r>
      <w:r w:rsidR="00197289" w:rsidRPr="00C74907">
        <w:rPr>
          <w:lang w:val="el-GR"/>
        </w:rPr>
        <w:t>€</w:t>
      </w:r>
      <w:r w:rsidR="00144911">
        <w:rPr>
          <w:lang w:val="el-GR"/>
        </w:rPr>
        <w:t>45</w:t>
      </w:r>
      <w:r w:rsidR="00A32F35">
        <w:rPr>
          <w:lang w:val="el-GR"/>
        </w:rPr>
        <w:t xml:space="preserve"> </w:t>
      </w:r>
      <w:r w:rsidR="00197289" w:rsidRPr="00C74907">
        <w:rPr>
          <w:lang w:val="el-GR"/>
        </w:rPr>
        <w:t>εκατ</w:t>
      </w:r>
      <w:r w:rsidR="00A32F35">
        <w:rPr>
          <w:lang w:val="el-GR"/>
        </w:rPr>
        <w:t>.</w:t>
      </w:r>
    </w:p>
    <w:p w:rsidR="00F83A59" w:rsidRPr="00C74907" w:rsidRDefault="00F83A59" w:rsidP="00F83A59">
      <w:pPr>
        <w:pStyle w:val="05PLAINTEXT"/>
        <w:ind w:left="2552" w:right="-285"/>
        <w:rPr>
          <w:rFonts w:cs="Calibri"/>
          <w:lang w:val="el-GR"/>
        </w:rPr>
      </w:pPr>
    </w:p>
    <w:p w:rsidR="00B13A84" w:rsidRPr="00C74907" w:rsidRDefault="00B13A84" w:rsidP="00F83A59">
      <w:pPr>
        <w:pStyle w:val="05PLAINTEXT"/>
        <w:ind w:left="2552" w:right="-285"/>
        <w:rPr>
          <w:rFonts w:cs="Calibri"/>
          <w:lang w:val="el-GR"/>
        </w:rPr>
      </w:pPr>
    </w:p>
    <w:tbl>
      <w:tblPr>
        <w:tblStyle w:val="a7"/>
        <w:tblpPr w:leftFromText="181" w:rightFromText="181" w:vertAnchor="page" w:horzAnchor="page" w:tblpX="463" w:tblpY="1881"/>
        <w:tblOverlap w:val="never"/>
        <w:tblW w:w="3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4"/>
      </w:tblGrid>
      <w:tr w:rsidR="00F168DB" w:rsidRPr="00C74907" w:rsidTr="003A48E0">
        <w:trPr>
          <w:trHeight w:val="334"/>
        </w:trPr>
        <w:tc>
          <w:tcPr>
            <w:tcW w:w="3501" w:type="dxa"/>
            <w:tcBorders>
              <w:bottom w:val="single" w:sz="4" w:space="0" w:color="FFFFFF" w:themeColor="background1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F168DB" w:rsidRPr="00C74907" w:rsidRDefault="00F83A59" w:rsidP="00144911">
            <w:pPr>
              <w:pStyle w:val="10TableB"/>
              <w:rPr>
                <w:rFonts w:cs="Calibri"/>
                <w:bCs/>
                <w:color w:val="D1AA70" w:themeColor="accent2"/>
              </w:rPr>
            </w:pPr>
            <w:r w:rsidRPr="00CA7E22">
              <w:rPr>
                <w:rFonts w:cs="Calibri"/>
                <w:b w:val="0"/>
                <w:bCs/>
                <w:color w:val="81AAD5" w:themeColor="accent1" w:themeTint="99"/>
                <w:lang w:val="el-GR"/>
              </w:rPr>
              <w:t>Καταθέσεις Πελατών</w:t>
            </w:r>
            <w:r w:rsidR="00F168DB" w:rsidRPr="00CA7E22">
              <w:rPr>
                <w:rFonts w:cs="Calibri"/>
                <w:b w:val="0"/>
                <w:bCs/>
                <w:color w:val="81AAD5" w:themeColor="accent1" w:themeTint="99"/>
                <w:lang w:val="el-GR"/>
              </w:rPr>
              <w:t xml:space="preserve"> (</w:t>
            </w:r>
            <w:r w:rsidRPr="00CA7E22">
              <w:rPr>
                <w:rFonts w:cs="Calibri"/>
                <w:b w:val="0"/>
                <w:bCs/>
                <w:color w:val="81AAD5" w:themeColor="accent1" w:themeTint="99"/>
                <w:lang w:val="el-GR"/>
              </w:rPr>
              <w:t>σε</w:t>
            </w:r>
            <w:r w:rsidR="00F168DB" w:rsidRPr="00CA7E22">
              <w:rPr>
                <w:rFonts w:cs="Calibri"/>
                <w:b w:val="0"/>
                <w:bCs/>
                <w:color w:val="81AAD5" w:themeColor="accent1" w:themeTint="99"/>
                <w:lang w:val="el-GR"/>
              </w:rPr>
              <w:t xml:space="preserve"> € </w:t>
            </w:r>
            <w:proofErr w:type="spellStart"/>
            <w:r w:rsidRPr="00CA7E22">
              <w:rPr>
                <w:rFonts w:cs="Calibri"/>
                <w:b w:val="0"/>
                <w:bCs/>
                <w:color w:val="81AAD5" w:themeColor="accent1" w:themeTint="99"/>
                <w:lang w:val="el-GR"/>
              </w:rPr>
              <w:t>δισ</w:t>
            </w:r>
            <w:proofErr w:type="spellEnd"/>
            <w:r w:rsidR="00F168DB" w:rsidRPr="00CA7E22">
              <w:rPr>
                <w:rFonts w:cs="Calibri"/>
                <w:b w:val="0"/>
                <w:bCs/>
                <w:color w:val="81AAD5" w:themeColor="accent1" w:themeTint="99"/>
                <w:lang w:val="el-GR"/>
              </w:rPr>
              <w:t>)</w:t>
            </w:r>
          </w:p>
        </w:tc>
      </w:tr>
      <w:tr w:rsidR="00F168DB" w:rsidRPr="00C74907" w:rsidTr="003A48E0">
        <w:trPr>
          <w:trHeight w:val="2691"/>
        </w:trPr>
        <w:tc>
          <w:tcPr>
            <w:tcW w:w="3501" w:type="dxa"/>
            <w:tcBorders>
              <w:top w:val="single" w:sz="4" w:space="0" w:color="FFFFFF" w:themeColor="background1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F168DB" w:rsidRPr="00C74907" w:rsidRDefault="00F168DB" w:rsidP="003A48E0">
            <w:pPr>
              <w:pStyle w:val="10TableB"/>
              <w:rPr>
                <w:rFonts w:cs="Calibri"/>
              </w:rPr>
            </w:pPr>
            <w:r w:rsidRPr="00C74907">
              <w:rPr>
                <w:rFonts w:cs="Calibri"/>
                <w:noProof/>
                <w:sz w:val="14"/>
                <w:szCs w:val="14"/>
                <w:lang w:eastAsia="en-US"/>
              </w:rPr>
              <w:lastRenderedPageBreak/>
              <w:drawing>
                <wp:inline distT="0" distB="0" distL="0" distR="0">
                  <wp:extent cx="2163170" cy="1737360"/>
                  <wp:effectExtent l="0" t="0" r="0" b="0"/>
                  <wp:docPr id="53" name="Chart 5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F168DB" w:rsidRPr="00C74907" w:rsidTr="00E46930">
        <w:trPr>
          <w:trHeight w:val="108"/>
        </w:trPr>
        <w:tc>
          <w:tcPr>
            <w:tcW w:w="3501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tbl>
            <w:tblPr>
              <w:tblStyle w:val="a7"/>
              <w:tblpPr w:leftFromText="181" w:rightFromText="181" w:vertAnchor="page" w:horzAnchor="margin" w:tblpY="109"/>
              <w:tblOverlap w:val="never"/>
              <w:tblW w:w="36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64"/>
            </w:tblGrid>
            <w:tr w:rsidR="00144911" w:rsidRPr="00C74907" w:rsidTr="00144911">
              <w:trPr>
                <w:trHeight w:val="175"/>
              </w:trPr>
              <w:tc>
                <w:tcPr>
                  <w:tcW w:w="3664" w:type="dxa"/>
                  <w:tcBorders>
                    <w:bottom w:val="single" w:sz="4" w:space="0" w:color="FFFFFF" w:themeColor="background1"/>
                  </w:tcBorders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vAlign w:val="bottom"/>
                </w:tcPr>
                <w:p w:rsidR="00144911" w:rsidRPr="00C74907" w:rsidRDefault="00144911" w:rsidP="00144911">
                  <w:pPr>
                    <w:pStyle w:val="10TableB"/>
                    <w:rPr>
                      <w:rFonts w:cs="Calibri"/>
                      <w:bCs/>
                      <w:color w:val="81AAD5" w:themeColor="accent1" w:themeTint="99"/>
                      <w:sz w:val="14"/>
                      <w:szCs w:val="18"/>
                    </w:rPr>
                  </w:pPr>
                  <w:r w:rsidRPr="00C74907">
                    <w:rPr>
                      <w:rFonts w:cs="Calibri"/>
                      <w:b w:val="0"/>
                      <w:bCs/>
                      <w:color w:val="81AAD5" w:themeColor="accent1" w:themeTint="99"/>
                      <w:lang w:val="el-GR"/>
                    </w:rPr>
                    <w:t xml:space="preserve">Χρηματοδότηση από </w:t>
                  </w:r>
                  <w:proofErr w:type="spellStart"/>
                  <w:r w:rsidRPr="00C74907">
                    <w:rPr>
                      <w:rFonts w:cs="Calibri"/>
                      <w:b w:val="0"/>
                      <w:bCs/>
                      <w:color w:val="81AAD5" w:themeColor="accent1" w:themeTint="99"/>
                      <w:lang w:val="el-GR"/>
                    </w:rPr>
                    <w:t>Ευρωσύστημα</w:t>
                  </w:r>
                  <w:proofErr w:type="spellEnd"/>
                  <w:r w:rsidRPr="00C74907">
                    <w:rPr>
                      <w:rFonts w:cs="Calibri"/>
                      <w:b w:val="0"/>
                      <w:bCs/>
                      <w:color w:val="81AAD5" w:themeColor="accent1" w:themeTint="99"/>
                    </w:rPr>
                    <w:t xml:space="preserve"> (€ </w:t>
                  </w:r>
                  <w:proofErr w:type="spellStart"/>
                  <w:r w:rsidRPr="00C74907">
                    <w:rPr>
                      <w:rFonts w:cs="Calibri"/>
                      <w:b w:val="0"/>
                      <w:bCs/>
                      <w:color w:val="81AAD5" w:themeColor="accent1" w:themeTint="99"/>
                      <w:lang w:val="el-GR"/>
                    </w:rPr>
                    <w:t>δισ</w:t>
                  </w:r>
                  <w:proofErr w:type="spellEnd"/>
                  <w:r w:rsidRPr="00C74907">
                    <w:rPr>
                      <w:rFonts w:cs="Calibri"/>
                      <w:b w:val="0"/>
                      <w:bCs/>
                      <w:color w:val="81AAD5" w:themeColor="accent1" w:themeTint="99"/>
                    </w:rPr>
                    <w:t>)</w:t>
                  </w:r>
                </w:p>
              </w:tc>
            </w:tr>
            <w:tr w:rsidR="00144911" w:rsidRPr="00C74907" w:rsidTr="00144911">
              <w:trPr>
                <w:trHeight w:val="2041"/>
              </w:trPr>
              <w:tc>
                <w:tcPr>
                  <w:tcW w:w="3664" w:type="dxa"/>
                  <w:tcBorders>
                    <w:top w:val="single" w:sz="4" w:space="0" w:color="FFFFFF" w:themeColor="background1"/>
                  </w:tcBorders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vAlign w:val="center"/>
                </w:tcPr>
                <w:p w:rsidR="00144911" w:rsidRPr="00C74907" w:rsidRDefault="00144911" w:rsidP="0084234C">
                  <w:pPr>
                    <w:pStyle w:val="10TableB"/>
                    <w:rPr>
                      <w:rFonts w:cs="Calibri"/>
                      <w:color w:val="000000"/>
                      <w:sz w:val="14"/>
                      <w:szCs w:val="18"/>
                    </w:rPr>
                  </w:pPr>
                  <w:r w:rsidRPr="00C74907">
                    <w:rPr>
                      <w:rFonts w:cs="Calibri"/>
                      <w:noProof/>
                      <w:color w:val="000000"/>
                      <w:sz w:val="14"/>
                      <w:szCs w:val="18"/>
                      <w:lang w:eastAsia="en-US"/>
                    </w:rPr>
                    <w:drawing>
                      <wp:inline distT="0" distB="0" distL="0" distR="0">
                        <wp:extent cx="2232660" cy="1920240"/>
                        <wp:effectExtent l="0" t="0" r="0" b="3810"/>
                        <wp:docPr id="28" name="Chart 28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168DB" w:rsidRPr="00C74907" w:rsidRDefault="00F168DB" w:rsidP="003A48E0">
            <w:pPr>
              <w:pStyle w:val="10TableB"/>
              <w:rPr>
                <w:rFonts w:cs="Calibri"/>
                <w:bCs/>
                <w:color w:val="D1AA70" w:themeColor="accent2"/>
                <w:lang w:val="el-GR"/>
              </w:rPr>
            </w:pPr>
          </w:p>
        </w:tc>
      </w:tr>
      <w:tr w:rsidR="00F168DB" w:rsidRPr="00C74907" w:rsidTr="00E46930">
        <w:trPr>
          <w:trHeight w:val="108"/>
        </w:trPr>
        <w:tc>
          <w:tcPr>
            <w:tcW w:w="3501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68DB" w:rsidRPr="00C74907" w:rsidRDefault="00F168DB" w:rsidP="003A48E0">
            <w:pPr>
              <w:pStyle w:val="10TableB"/>
              <w:rPr>
                <w:rFonts w:cs="Calibri"/>
                <w:sz w:val="14"/>
                <w:szCs w:val="14"/>
              </w:rPr>
            </w:pPr>
          </w:p>
        </w:tc>
      </w:tr>
    </w:tbl>
    <w:p w:rsidR="00144911" w:rsidRDefault="00C058B0" w:rsidP="00E30520">
      <w:pPr>
        <w:pStyle w:val="05PLAINTEXT"/>
        <w:ind w:left="2552" w:right="-285"/>
        <w:rPr>
          <w:rFonts w:cs="Calibri"/>
          <w:lang w:val="el-GR"/>
        </w:rPr>
      </w:pPr>
      <w:r w:rsidRPr="00C058B0">
        <w:rPr>
          <w:rFonts w:cs="Calibri"/>
          <w:noProof/>
          <w:color w:val="3A73AE"/>
          <w:sz w:val="28"/>
          <w:szCs w:val="28"/>
          <w:lang w:eastAsia="en-GB"/>
        </w:rPr>
        <w:pict>
          <v:roundrect id="AutoShape 12" o:spid="_x0000_s1030" style="position:absolute;left:0;text-align:left;margin-left:.65pt;margin-top:6.25pt;width:222.9pt;height:701.6pt;z-index:-251659265;visibility:visible;mso-position-horizontal-relative:page;mso-position-vertical-relative:margin;mso-width-relative:margin;mso-height-relative:margin;v-text-anchor:middle" arcsize="18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" fillcolor="#dcdcd7" stroked="f">
            <v:fill opacity="49087f"/>
            <w10:wrap anchorx="page" anchory="margin"/>
          </v:roundrect>
        </w:pict>
      </w:r>
    </w:p>
    <w:p w:rsidR="00C502A7" w:rsidRDefault="00824F28" w:rsidP="00E30520">
      <w:pPr>
        <w:pStyle w:val="05PLAINTEXT"/>
        <w:ind w:left="2552" w:right="-285"/>
        <w:rPr>
          <w:rFonts w:cs="Calibri"/>
          <w:lang w:val="el-GR"/>
        </w:rPr>
      </w:pPr>
      <w:r w:rsidRPr="00C74907">
        <w:rPr>
          <w:rFonts w:cs="Calibri"/>
          <w:lang w:val="el-GR"/>
        </w:rPr>
        <w:t xml:space="preserve">Τον Μάρτιο 2016, </w:t>
      </w:r>
      <w:r w:rsidR="00C502A7">
        <w:rPr>
          <w:rFonts w:cs="Calibri"/>
          <w:lang w:val="el-GR"/>
        </w:rPr>
        <w:t xml:space="preserve">το </w:t>
      </w:r>
      <w:r w:rsidR="00C502A7" w:rsidRPr="00C502A7">
        <w:rPr>
          <w:rFonts w:cs="Calibri"/>
          <w:b/>
          <w:lang w:val="el-GR"/>
        </w:rPr>
        <w:t>έξοδο των</w:t>
      </w:r>
      <w:r w:rsidRPr="00C502A7">
        <w:rPr>
          <w:rFonts w:cs="Calibri"/>
          <w:b/>
          <w:lang w:val="el-GR"/>
        </w:rPr>
        <w:t xml:space="preserve"> προβλέψε</w:t>
      </w:r>
      <w:r w:rsidR="00C502A7" w:rsidRPr="00C502A7">
        <w:rPr>
          <w:rFonts w:cs="Calibri"/>
          <w:b/>
          <w:lang w:val="el-GR"/>
        </w:rPr>
        <w:t>ων</w:t>
      </w:r>
      <w:r w:rsidR="00C502A7">
        <w:rPr>
          <w:rFonts w:cs="Calibri"/>
          <w:b/>
          <w:lang w:val="el-GR"/>
        </w:rPr>
        <w:t xml:space="preserve"> </w:t>
      </w:r>
      <w:r w:rsidRPr="00C74907">
        <w:rPr>
          <w:rFonts w:cs="Calibri"/>
          <w:lang w:val="el-GR"/>
        </w:rPr>
        <w:t xml:space="preserve">για δάνεια </w:t>
      </w:r>
      <w:r w:rsidR="00C502A7">
        <w:rPr>
          <w:rFonts w:cs="Calibri"/>
          <w:lang w:val="el-GR"/>
        </w:rPr>
        <w:t>διαμορφώθηκε</w:t>
      </w:r>
      <w:r w:rsidRPr="00C74907">
        <w:rPr>
          <w:rFonts w:cs="Calibri"/>
          <w:lang w:val="el-GR"/>
        </w:rPr>
        <w:t xml:space="preserve"> σε €289 εκατ. από €1.384 εκατ. στο 4ο 3μηνο 2015, ενώ πραγματοποιήθηκε </w:t>
      </w:r>
      <w:proofErr w:type="spellStart"/>
      <w:r w:rsidRPr="00C74907">
        <w:rPr>
          <w:rFonts w:cs="Calibri"/>
          <w:lang w:val="el-GR"/>
        </w:rPr>
        <w:t>απομείωση</w:t>
      </w:r>
      <w:proofErr w:type="spellEnd"/>
      <w:r w:rsidRPr="00C74907">
        <w:rPr>
          <w:rFonts w:cs="Calibri"/>
          <w:lang w:val="el-GR"/>
        </w:rPr>
        <w:t xml:space="preserve"> αξίας λοιπών απαιτήσεων και στοιχείων ενεργητικού ύψους </w:t>
      </w:r>
      <w:r w:rsidR="00C502A7">
        <w:rPr>
          <w:rFonts w:cs="Calibri"/>
          <w:lang w:val="el-GR"/>
        </w:rPr>
        <w:t>€</w:t>
      </w:r>
      <w:r w:rsidRPr="00C74907">
        <w:rPr>
          <w:rFonts w:cs="Calibri"/>
          <w:lang w:val="el-GR"/>
        </w:rPr>
        <w:t>12</w:t>
      </w:r>
      <w:r w:rsidR="00C502A7">
        <w:rPr>
          <w:rFonts w:cs="Calibri"/>
          <w:lang w:val="el-GR"/>
        </w:rPr>
        <w:t xml:space="preserve"> </w:t>
      </w:r>
      <w:r w:rsidRPr="00C74907">
        <w:rPr>
          <w:rFonts w:cs="Calibri"/>
          <w:lang w:val="el-GR"/>
        </w:rPr>
        <w:t xml:space="preserve">εκατ.  Από το σύνολο των προβλέψεων για δάνεια του 1ου 3μήνου 2016 τα  </w:t>
      </w:r>
      <w:r w:rsidR="00DD1FE0" w:rsidRPr="00C74907">
        <w:rPr>
          <w:rFonts w:cs="Calibri"/>
          <w:lang w:val="el-GR"/>
        </w:rPr>
        <w:t>€</w:t>
      </w:r>
      <w:r w:rsidR="00DD1FE0">
        <w:rPr>
          <w:rFonts w:cs="Calibri"/>
          <w:lang w:val="el-GR"/>
        </w:rPr>
        <w:t xml:space="preserve">270 </w:t>
      </w:r>
      <w:r w:rsidRPr="00C74907">
        <w:rPr>
          <w:rFonts w:cs="Calibri"/>
          <w:lang w:val="el-GR"/>
        </w:rPr>
        <w:t xml:space="preserve">εκατ. αφορούν δάνεια στην Ελλάδα και τα </w:t>
      </w:r>
      <w:r w:rsidR="00DD1FE0" w:rsidRPr="00C74907">
        <w:rPr>
          <w:rFonts w:cs="Calibri"/>
          <w:lang w:val="el-GR"/>
        </w:rPr>
        <w:t>€</w:t>
      </w:r>
      <w:r w:rsidR="00DD1FE0">
        <w:rPr>
          <w:rFonts w:cs="Calibri"/>
          <w:lang w:val="el-GR"/>
        </w:rPr>
        <w:t>19</w:t>
      </w:r>
      <w:r w:rsidR="00DD1FE0" w:rsidRPr="00C74907">
        <w:rPr>
          <w:rFonts w:cs="Calibri"/>
          <w:lang w:val="el-GR"/>
        </w:rPr>
        <w:t xml:space="preserve"> </w:t>
      </w:r>
      <w:r w:rsidRPr="00C74907">
        <w:rPr>
          <w:rFonts w:cs="Calibri"/>
          <w:lang w:val="el-GR"/>
        </w:rPr>
        <w:t>εκατ. στο εξωτερικό.</w:t>
      </w:r>
    </w:p>
    <w:p w:rsidR="00824F28" w:rsidRPr="00C74907" w:rsidRDefault="00824F28" w:rsidP="00E30520">
      <w:pPr>
        <w:pStyle w:val="05PLAINTEXT"/>
        <w:ind w:left="2552" w:right="-285"/>
        <w:rPr>
          <w:rFonts w:cs="Calibri"/>
          <w:lang w:val="el-GR"/>
        </w:rPr>
      </w:pPr>
      <w:r w:rsidRPr="00C74907">
        <w:rPr>
          <w:rFonts w:cs="Calibri"/>
          <w:lang w:val="el-GR"/>
        </w:rPr>
        <w:t xml:space="preserve"> </w:t>
      </w:r>
    </w:p>
    <w:p w:rsidR="00824F28" w:rsidRPr="00C74907" w:rsidRDefault="00824F28" w:rsidP="00824F28">
      <w:pPr>
        <w:pStyle w:val="05PLAINTEXT"/>
        <w:ind w:left="2552" w:right="-285"/>
        <w:rPr>
          <w:rFonts w:cs="Calibri"/>
          <w:lang w:val="el-GR"/>
        </w:rPr>
      </w:pPr>
      <w:r w:rsidRPr="00C74907">
        <w:rPr>
          <w:rFonts w:cs="Calibri"/>
          <w:lang w:val="el-GR"/>
        </w:rPr>
        <w:t xml:space="preserve">Οι σωρευμένες προβλέψεις αντιπροσωπεύουν το </w:t>
      </w:r>
      <w:r w:rsidR="00C502A7">
        <w:rPr>
          <w:rFonts w:cs="Calibri"/>
          <w:lang w:val="el-GR"/>
        </w:rPr>
        <w:t>26,2</w:t>
      </w:r>
      <w:r w:rsidRPr="00C74907">
        <w:rPr>
          <w:rFonts w:cs="Calibri"/>
          <w:lang w:val="el-GR"/>
        </w:rPr>
        <w:t>%</w:t>
      </w:r>
      <w:r w:rsidR="00C502A7">
        <w:rPr>
          <w:rFonts w:cs="Calibri"/>
          <w:lang w:val="el-GR"/>
        </w:rPr>
        <w:t xml:space="preserve"> </w:t>
      </w:r>
      <w:r w:rsidRPr="00C74907">
        <w:rPr>
          <w:rFonts w:cs="Calibri"/>
          <w:lang w:val="el-GR"/>
        </w:rPr>
        <w:t xml:space="preserve">του συνολικού δανειακού χαρτοφυλακίου στο τέλος Μαρτίου 2016 και συνεπακόλουθα η κάλυψη των δανείων σε  καθυστέρηση ενισχύθηκε στο επίπεδο </w:t>
      </w:r>
      <w:r w:rsidR="00C502A7">
        <w:rPr>
          <w:rFonts w:cs="Calibri"/>
          <w:lang w:val="el-GR"/>
        </w:rPr>
        <w:t>66</w:t>
      </w:r>
      <w:r w:rsidRPr="00C74907">
        <w:rPr>
          <w:rFonts w:cs="Calibri"/>
          <w:lang w:val="el-GR"/>
        </w:rPr>
        <w:t xml:space="preserve">% από 65% τον </w:t>
      </w:r>
      <w:r w:rsidR="00C502A7">
        <w:rPr>
          <w:rFonts w:cs="Calibri"/>
          <w:lang w:val="el-GR"/>
        </w:rPr>
        <w:t>Δεκέμβριο</w:t>
      </w:r>
      <w:r w:rsidRPr="00C74907">
        <w:rPr>
          <w:rFonts w:cs="Calibri"/>
          <w:lang w:val="el-GR"/>
        </w:rPr>
        <w:t xml:space="preserve"> 2015. </w:t>
      </w:r>
    </w:p>
    <w:p w:rsidR="00824F28" w:rsidRPr="00C74907" w:rsidRDefault="00824F28" w:rsidP="00824F28">
      <w:pPr>
        <w:pStyle w:val="05PLAINTEXT"/>
        <w:ind w:left="2552" w:right="-285"/>
        <w:rPr>
          <w:rFonts w:cs="Calibri"/>
          <w:lang w:val="el-GR"/>
        </w:rPr>
      </w:pPr>
    </w:p>
    <w:p w:rsidR="00824F28" w:rsidRPr="00C74907" w:rsidRDefault="00824F28" w:rsidP="00824F28">
      <w:pPr>
        <w:pStyle w:val="05PLAINTEXT"/>
        <w:ind w:left="2552" w:right="-285"/>
        <w:rPr>
          <w:rFonts w:cs="Calibri"/>
          <w:lang w:val="el-GR"/>
        </w:rPr>
      </w:pPr>
      <w:r w:rsidRPr="00C74907">
        <w:rPr>
          <w:color w:val="000000" w:themeColor="text1"/>
          <w:lang w:val="el-GR"/>
        </w:rPr>
        <w:t xml:space="preserve">Τα </w:t>
      </w:r>
      <w:r w:rsidRPr="00C74907">
        <w:rPr>
          <w:b/>
          <w:color w:val="000000" w:themeColor="text1"/>
          <w:lang w:val="el-GR"/>
        </w:rPr>
        <w:t>καθαρά αποτελέσματα του Ομίλου μετά από φόρους</w:t>
      </w:r>
      <w:r w:rsidRPr="00C74907">
        <w:rPr>
          <w:color w:val="000000" w:themeColor="text1"/>
          <w:lang w:val="el-GR"/>
        </w:rPr>
        <w:t xml:space="preserve"> από συνεχιζόμενες δραστηριότητες που αναλογούν στους μετόχους διαμορφώθηκαν σε ζημιά €</w:t>
      </w:r>
      <w:r w:rsidR="00C502A7">
        <w:rPr>
          <w:color w:val="000000" w:themeColor="text1"/>
          <w:lang w:val="el-GR"/>
        </w:rPr>
        <w:t>37 εκατ. το 1o</w:t>
      </w:r>
      <w:r w:rsidRPr="00C74907">
        <w:rPr>
          <w:color w:val="000000" w:themeColor="text1"/>
          <w:lang w:val="el-GR"/>
        </w:rPr>
        <w:t xml:space="preserve"> 3μήνο 2016.</w:t>
      </w:r>
    </w:p>
    <w:p w:rsidR="00824F28" w:rsidRPr="00C74907" w:rsidRDefault="00824F28" w:rsidP="00824F28">
      <w:pPr>
        <w:pStyle w:val="05PLAINTEXT"/>
        <w:ind w:left="2552" w:right="-285"/>
        <w:rPr>
          <w:rFonts w:cs="Calibri"/>
          <w:lang w:val="el-GR"/>
        </w:rPr>
      </w:pPr>
    </w:p>
    <w:p w:rsidR="00824F28" w:rsidRPr="00C74907" w:rsidRDefault="00824F28" w:rsidP="00824F28">
      <w:pPr>
        <w:pStyle w:val="05PLAINTEXT"/>
        <w:ind w:left="2552" w:right="-285"/>
        <w:rPr>
          <w:lang w:val="el-GR"/>
        </w:rPr>
      </w:pPr>
      <w:r w:rsidRPr="00C74907">
        <w:rPr>
          <w:color w:val="auto"/>
          <w:lang w:val="el-GR"/>
        </w:rPr>
        <w:t xml:space="preserve">Οι </w:t>
      </w:r>
      <w:r w:rsidRPr="00C74907">
        <w:rPr>
          <w:b/>
          <w:color w:val="000000" w:themeColor="text1"/>
          <w:lang w:val="el-GR"/>
        </w:rPr>
        <w:t>καταθέσεις πελατών</w:t>
      </w:r>
      <w:r w:rsidRPr="00C74907">
        <w:rPr>
          <w:color w:val="auto"/>
          <w:lang w:val="el-GR"/>
        </w:rPr>
        <w:t xml:space="preserve"> </w:t>
      </w:r>
      <w:r w:rsidRPr="00C74907">
        <w:rPr>
          <w:lang w:val="el-GR"/>
        </w:rPr>
        <w:t xml:space="preserve">του Ομίλου διαμορφώθηκαν τον Μάρτιο 2016 σε €37,9 δισ., σημειώνοντας τριμηνιαία μείωση κατά 3% που προέρχεται κυρίως από την Ελλάδα και αποδίδεται στην επίπτωση που είχαν οι πληρωμές υποχρεώσεων </w:t>
      </w:r>
      <w:r w:rsidR="0085525A">
        <w:rPr>
          <w:lang w:val="el-GR"/>
        </w:rPr>
        <w:t xml:space="preserve">τόσο εκ μέρους της Γενικής Κυβέρνησης όσο και </w:t>
      </w:r>
      <w:r w:rsidRPr="00C74907">
        <w:rPr>
          <w:lang w:val="el-GR"/>
        </w:rPr>
        <w:t>από επιχειρήσεις</w:t>
      </w:r>
      <w:r w:rsidR="0085525A">
        <w:rPr>
          <w:lang w:val="el-GR"/>
        </w:rPr>
        <w:t xml:space="preserve"> (συνολικό υπόλοιπο εγχώριων καταθέσεων €35,1 δισ</w:t>
      </w:r>
      <w:r w:rsidRPr="00C74907">
        <w:rPr>
          <w:lang w:val="el-GR"/>
        </w:rPr>
        <w:t>.</w:t>
      </w:r>
      <w:r w:rsidR="0085525A">
        <w:rPr>
          <w:lang w:val="el-GR"/>
        </w:rPr>
        <w:t>).</w:t>
      </w:r>
      <w:r w:rsidRPr="00C74907">
        <w:rPr>
          <w:lang w:val="el-GR"/>
        </w:rPr>
        <w:t xml:space="preserve"> </w:t>
      </w:r>
    </w:p>
    <w:p w:rsidR="00824F28" w:rsidRPr="00C74907" w:rsidRDefault="00824F28" w:rsidP="00824F28">
      <w:pPr>
        <w:pStyle w:val="05PLAINTEXT"/>
        <w:ind w:left="2552" w:right="-285"/>
        <w:rPr>
          <w:lang w:val="el-GR"/>
        </w:rPr>
      </w:pPr>
    </w:p>
    <w:p w:rsidR="00824F28" w:rsidRPr="00C74907" w:rsidRDefault="00824F28" w:rsidP="00824F28">
      <w:pPr>
        <w:pStyle w:val="05PLAINTEXT"/>
        <w:ind w:left="2552" w:right="-285"/>
        <w:rPr>
          <w:lang w:val="el-GR"/>
        </w:rPr>
      </w:pPr>
      <w:r w:rsidRPr="00C74907">
        <w:rPr>
          <w:lang w:val="el-GR"/>
        </w:rPr>
        <w:t xml:space="preserve">Οι καταθέσεις εξωτερικού διαμορφώθηκαν στο τέλος Μαρ.2016 σε €2,8 δισ., αμετάβλητες σε σχέση με τον Δεκέμβριο 2015. </w:t>
      </w:r>
    </w:p>
    <w:p w:rsidR="00824F28" w:rsidRPr="00C74907" w:rsidRDefault="00824F28" w:rsidP="00824F28">
      <w:pPr>
        <w:pStyle w:val="05PLAINTEXT"/>
        <w:ind w:left="2552" w:right="-285"/>
        <w:rPr>
          <w:lang w:val="el-GR"/>
        </w:rPr>
      </w:pPr>
    </w:p>
    <w:tbl>
      <w:tblPr>
        <w:tblpPr w:leftFromText="180" w:rightFromText="180" w:vertAnchor="text" w:horzAnchor="page" w:tblpX="464" w:tblpY="1882"/>
        <w:tblOverlap w:val="never"/>
        <w:tblW w:w="3948" w:type="dxa"/>
        <w:tblLayout w:type="fixed"/>
        <w:tblCellMar>
          <w:left w:w="113" w:type="dxa"/>
          <w:right w:w="113" w:type="dxa"/>
        </w:tblCellMar>
        <w:tblLook w:val="01E0"/>
      </w:tblPr>
      <w:tblGrid>
        <w:gridCol w:w="1943"/>
        <w:gridCol w:w="1064"/>
        <w:gridCol w:w="941"/>
      </w:tblGrid>
      <w:tr w:rsidR="00144911" w:rsidRPr="00C74907" w:rsidTr="000B396F">
        <w:trPr>
          <w:trHeight w:hRule="exact" w:val="435"/>
        </w:trPr>
        <w:tc>
          <w:tcPr>
            <w:tcW w:w="1943" w:type="dxa"/>
            <w:tcBorders>
              <w:bottom w:val="single" w:sz="4" w:space="0" w:color="FFFFFF" w:themeColor="background1"/>
            </w:tcBorders>
            <w:shd w:val="clear" w:color="auto" w:fill="auto"/>
            <w:tcMar>
              <w:left w:w="113" w:type="dxa"/>
            </w:tcMar>
            <w:vAlign w:val="center"/>
          </w:tcPr>
          <w:p w:rsidR="00144911" w:rsidRPr="00C74907" w:rsidRDefault="00144911" w:rsidP="00864618">
            <w:pPr>
              <w:pStyle w:val="11TableP"/>
              <w:rPr>
                <w:rFonts w:cs="Calibri"/>
                <w:b/>
                <w:bCs/>
                <w:color w:val="81AAD5" w:themeColor="accent1" w:themeTint="99"/>
                <w:sz w:val="18"/>
                <w:szCs w:val="18"/>
                <w:lang w:val="el-GR"/>
              </w:rPr>
            </w:pPr>
            <w:r w:rsidRPr="00C74907">
              <w:rPr>
                <w:rFonts w:cs="Calibri"/>
                <w:b/>
                <w:bCs/>
                <w:color w:val="81AAD5" w:themeColor="accent1" w:themeTint="99"/>
                <w:sz w:val="18"/>
                <w:szCs w:val="18"/>
                <w:lang w:val="el-GR"/>
              </w:rPr>
              <w:t>Ανάλυση Μεγεθών</w:t>
            </w:r>
          </w:p>
          <w:p w:rsidR="00144911" w:rsidRPr="00C74907" w:rsidRDefault="00144911" w:rsidP="00864618">
            <w:pPr>
              <w:pStyle w:val="11TableP"/>
              <w:rPr>
                <w:rFonts w:cs="Calibri"/>
                <w:b/>
                <w:bCs/>
                <w:color w:val="81AAD5" w:themeColor="accent1" w:themeTint="99"/>
                <w:sz w:val="18"/>
                <w:szCs w:val="18"/>
                <w:lang w:val="en-GB"/>
              </w:rPr>
            </w:pPr>
          </w:p>
        </w:tc>
        <w:tc>
          <w:tcPr>
            <w:tcW w:w="1064" w:type="dxa"/>
            <w:tcBorders>
              <w:bottom w:val="single" w:sz="4" w:space="0" w:color="FFFFFF" w:themeColor="background1"/>
              <w:right w:val="single" w:sz="12" w:space="0" w:color="D1AA71"/>
            </w:tcBorders>
            <w:shd w:val="clear" w:color="auto" w:fill="auto"/>
          </w:tcPr>
          <w:p w:rsidR="00144911" w:rsidRPr="00C74907" w:rsidRDefault="00144911" w:rsidP="00864618">
            <w:pPr>
              <w:pStyle w:val="11TableP"/>
              <w:jc w:val="center"/>
              <w:rPr>
                <w:rFonts w:cs="Calibri"/>
                <w:b/>
                <w:color w:val="81AAD5" w:themeColor="accent1" w:themeTint="99"/>
                <w:sz w:val="12"/>
                <w:szCs w:val="12"/>
              </w:rPr>
            </w:pPr>
            <w:r w:rsidRPr="00C74907">
              <w:rPr>
                <w:rFonts w:cs="Calibri"/>
                <w:b/>
                <w:color w:val="81AAD5" w:themeColor="accent1" w:themeTint="99"/>
                <w:sz w:val="12"/>
                <w:szCs w:val="12"/>
              </w:rPr>
              <w:t>31</w:t>
            </w:r>
            <w:r w:rsidRPr="00C74907">
              <w:rPr>
                <w:rFonts w:cs="Calibri"/>
                <w:b/>
                <w:color w:val="81AAD5" w:themeColor="accent1" w:themeTint="99"/>
                <w:sz w:val="12"/>
                <w:szCs w:val="12"/>
                <w:lang w:val="el-GR"/>
              </w:rPr>
              <w:t>Μαρ</w:t>
            </w:r>
            <w:r w:rsidRPr="00C74907">
              <w:rPr>
                <w:rFonts w:cs="Calibri"/>
                <w:b/>
                <w:color w:val="81AAD5" w:themeColor="accent1" w:themeTint="99"/>
                <w:sz w:val="12"/>
                <w:szCs w:val="12"/>
              </w:rPr>
              <w:t>.201</w:t>
            </w:r>
            <w:r w:rsidR="0085525A">
              <w:rPr>
                <w:rFonts w:cs="Calibri"/>
                <w:b/>
                <w:color w:val="81AAD5" w:themeColor="accent1" w:themeTint="99"/>
                <w:sz w:val="12"/>
                <w:szCs w:val="12"/>
                <w:lang w:val="el-GR"/>
              </w:rPr>
              <w:t>6</w:t>
            </w:r>
          </w:p>
          <w:p w:rsidR="00144911" w:rsidRPr="00C74907" w:rsidRDefault="00144911" w:rsidP="00864618">
            <w:pPr>
              <w:pStyle w:val="11TableP"/>
              <w:jc w:val="center"/>
              <w:rPr>
                <w:rFonts w:cs="Calibri"/>
                <w:b/>
                <w:color w:val="81AAD5" w:themeColor="accent1" w:themeTint="99"/>
                <w:sz w:val="10"/>
                <w:szCs w:val="10"/>
                <w:lang w:val="el-GR"/>
              </w:rPr>
            </w:pPr>
            <w:proofErr w:type="spellStart"/>
            <w:r w:rsidRPr="00C74907">
              <w:rPr>
                <w:rFonts w:cs="Calibri"/>
                <w:b/>
                <w:color w:val="81AAD5" w:themeColor="accent1" w:themeTint="99"/>
                <w:sz w:val="10"/>
                <w:szCs w:val="10"/>
              </w:rPr>
              <w:t>σε</w:t>
            </w:r>
            <w:proofErr w:type="spellEnd"/>
            <w:r w:rsidRPr="00C74907">
              <w:rPr>
                <w:rFonts w:cs="Calibri"/>
                <w:b/>
                <w:color w:val="81AAD5" w:themeColor="accent1" w:themeTint="99"/>
                <w:sz w:val="10"/>
                <w:szCs w:val="10"/>
              </w:rPr>
              <w:t xml:space="preserve"> € </w:t>
            </w:r>
            <w:proofErr w:type="spellStart"/>
            <w:r w:rsidRPr="00C74907">
              <w:rPr>
                <w:rFonts w:cs="Calibri"/>
                <w:b/>
                <w:color w:val="81AAD5" w:themeColor="accent1" w:themeTint="99"/>
                <w:sz w:val="10"/>
                <w:szCs w:val="10"/>
                <w:lang w:val="el-GR"/>
              </w:rPr>
              <w:t>εκατ</w:t>
            </w:r>
            <w:proofErr w:type="spellEnd"/>
          </w:p>
          <w:p w:rsidR="00144911" w:rsidRPr="00C74907" w:rsidRDefault="00144911" w:rsidP="00864618">
            <w:pPr>
              <w:pStyle w:val="11TableP"/>
              <w:jc w:val="center"/>
              <w:rPr>
                <w:rFonts w:cs="Calibri"/>
                <w:b/>
                <w:color w:val="81AAD5" w:themeColor="accent1" w:themeTint="99"/>
                <w:sz w:val="18"/>
                <w:szCs w:val="18"/>
              </w:rPr>
            </w:pPr>
          </w:p>
        </w:tc>
        <w:tc>
          <w:tcPr>
            <w:tcW w:w="941" w:type="dxa"/>
            <w:tcBorders>
              <w:left w:val="single" w:sz="12" w:space="0" w:color="D1AA71"/>
              <w:bottom w:val="single" w:sz="4" w:space="0" w:color="FFFFFF" w:themeColor="background1"/>
            </w:tcBorders>
            <w:shd w:val="clear" w:color="auto" w:fill="auto"/>
          </w:tcPr>
          <w:p w:rsidR="00144911" w:rsidRPr="00C74907" w:rsidRDefault="00144911" w:rsidP="00864618">
            <w:pPr>
              <w:pStyle w:val="11TableP"/>
              <w:jc w:val="center"/>
              <w:rPr>
                <w:rFonts w:cs="Calibri"/>
                <w:b/>
                <w:color w:val="81AAD5" w:themeColor="accent1" w:themeTint="99"/>
                <w:sz w:val="12"/>
                <w:szCs w:val="12"/>
                <w:lang w:val="el-GR"/>
              </w:rPr>
            </w:pPr>
            <w:r w:rsidRPr="00C74907">
              <w:rPr>
                <w:rFonts w:cs="Calibri"/>
                <w:b/>
                <w:color w:val="81AAD5" w:themeColor="accent1" w:themeTint="99"/>
                <w:sz w:val="12"/>
                <w:szCs w:val="12"/>
              </w:rPr>
              <w:t>Σ</w:t>
            </w:r>
            <w:proofErr w:type="spellStart"/>
            <w:r w:rsidRPr="00C74907">
              <w:rPr>
                <w:rFonts w:cs="Calibri"/>
                <w:b/>
                <w:color w:val="81AAD5" w:themeColor="accent1" w:themeTint="99"/>
                <w:sz w:val="12"/>
                <w:szCs w:val="12"/>
                <w:lang w:val="el-GR"/>
              </w:rPr>
              <w:t>ύνθεση</w:t>
            </w:r>
            <w:proofErr w:type="spellEnd"/>
          </w:p>
          <w:p w:rsidR="00144911" w:rsidRPr="00C74907" w:rsidRDefault="00144911" w:rsidP="00864618">
            <w:pPr>
              <w:pStyle w:val="11TableP"/>
              <w:jc w:val="center"/>
              <w:rPr>
                <w:rFonts w:cs="Calibri"/>
                <w:b/>
                <w:color w:val="81AAD5" w:themeColor="accent1" w:themeTint="99"/>
                <w:sz w:val="12"/>
                <w:szCs w:val="12"/>
              </w:rPr>
            </w:pPr>
            <w:r w:rsidRPr="00C74907">
              <w:rPr>
                <w:rFonts w:cs="Calibri"/>
                <w:b/>
                <w:color w:val="81AAD5" w:themeColor="accent1" w:themeTint="99"/>
                <w:sz w:val="12"/>
                <w:szCs w:val="12"/>
              </w:rPr>
              <w:t>%</w:t>
            </w:r>
          </w:p>
        </w:tc>
      </w:tr>
      <w:tr w:rsidR="00144911" w:rsidRPr="00C74907" w:rsidTr="000B396F">
        <w:trPr>
          <w:trHeight w:val="209"/>
        </w:trPr>
        <w:tc>
          <w:tcPr>
            <w:tcW w:w="1943" w:type="dxa"/>
            <w:tcBorders>
              <w:top w:val="single" w:sz="4" w:space="0" w:color="FFFFFF" w:themeColor="background1"/>
            </w:tcBorders>
            <w:shd w:val="clear" w:color="auto" w:fill="auto"/>
            <w:tcMar>
              <w:left w:w="113" w:type="dxa"/>
            </w:tcMar>
            <w:vAlign w:val="center"/>
          </w:tcPr>
          <w:p w:rsidR="00144911" w:rsidRPr="00C74907" w:rsidRDefault="00144911" w:rsidP="00864618">
            <w:pPr>
              <w:pStyle w:val="11TableP"/>
              <w:ind w:left="29"/>
              <w:rPr>
                <w:rFonts w:cs="Calibri"/>
                <w:b/>
                <w:color w:val="81AAD5" w:themeColor="accent1" w:themeTint="99"/>
                <w:sz w:val="18"/>
                <w:szCs w:val="18"/>
                <w:lang w:val="el-GR"/>
              </w:rPr>
            </w:pPr>
            <w:r w:rsidRPr="00C74907">
              <w:rPr>
                <w:rFonts w:cs="Calibri"/>
                <w:b/>
                <w:color w:val="81AAD5" w:themeColor="accent1" w:themeTint="99"/>
                <w:sz w:val="18"/>
                <w:szCs w:val="18"/>
                <w:lang w:val="el-GR"/>
              </w:rPr>
              <w:t>Δάνεια</w:t>
            </w:r>
          </w:p>
        </w:tc>
        <w:tc>
          <w:tcPr>
            <w:tcW w:w="1064" w:type="dxa"/>
            <w:tcBorders>
              <w:top w:val="single" w:sz="4" w:space="0" w:color="FFFFFF" w:themeColor="background1"/>
              <w:right w:val="single" w:sz="12" w:space="0" w:color="D1AA71"/>
            </w:tcBorders>
            <w:shd w:val="clear" w:color="auto" w:fill="auto"/>
            <w:vAlign w:val="center"/>
          </w:tcPr>
          <w:p w:rsidR="00144911" w:rsidRPr="00C74907" w:rsidRDefault="00144911" w:rsidP="00864618">
            <w:pPr>
              <w:pStyle w:val="11TableP"/>
              <w:jc w:val="right"/>
              <w:rPr>
                <w:rFonts w:cs="Calibri"/>
                <w:color w:val="81AAD5" w:themeColor="accent1" w:themeTint="99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FFFFFF" w:themeColor="background1"/>
              <w:left w:val="single" w:sz="12" w:space="0" w:color="D1AA71"/>
            </w:tcBorders>
            <w:shd w:val="clear" w:color="auto" w:fill="auto"/>
            <w:vAlign w:val="center"/>
          </w:tcPr>
          <w:p w:rsidR="00144911" w:rsidRPr="00C74907" w:rsidRDefault="00144911" w:rsidP="00864618">
            <w:pPr>
              <w:pStyle w:val="11TableP"/>
              <w:jc w:val="right"/>
              <w:rPr>
                <w:rFonts w:cs="Calibri"/>
                <w:color w:val="81AAD5" w:themeColor="accent1" w:themeTint="99"/>
                <w:sz w:val="18"/>
                <w:szCs w:val="18"/>
              </w:rPr>
            </w:pPr>
          </w:p>
        </w:tc>
      </w:tr>
      <w:tr w:rsidR="00144911" w:rsidRPr="00C74907" w:rsidTr="000B396F">
        <w:trPr>
          <w:trHeight w:val="209"/>
        </w:trPr>
        <w:tc>
          <w:tcPr>
            <w:tcW w:w="1943" w:type="dxa"/>
            <w:shd w:val="clear" w:color="auto" w:fill="auto"/>
            <w:tcMar>
              <w:left w:w="227" w:type="dxa"/>
            </w:tcMar>
            <w:vAlign w:val="center"/>
          </w:tcPr>
          <w:p w:rsidR="00144911" w:rsidRPr="00C74907" w:rsidRDefault="00144911" w:rsidP="00864618">
            <w:pPr>
              <w:pStyle w:val="11TableP"/>
              <w:rPr>
                <w:rFonts w:cs="Calibri"/>
                <w:color w:val="3F3F3F"/>
                <w:sz w:val="18"/>
                <w:szCs w:val="18"/>
                <w:lang w:val="el-GR"/>
              </w:rPr>
            </w:pPr>
            <w:r w:rsidRPr="00C74907">
              <w:rPr>
                <w:rFonts w:cs="Calibri"/>
                <w:color w:val="3F3F3F"/>
                <w:sz w:val="18"/>
                <w:szCs w:val="18"/>
                <w:lang w:val="el-GR"/>
              </w:rPr>
              <w:t>Επιχειρήσεις</w:t>
            </w:r>
          </w:p>
        </w:tc>
        <w:tc>
          <w:tcPr>
            <w:tcW w:w="1064" w:type="dxa"/>
            <w:tcBorders>
              <w:right w:val="single" w:sz="12" w:space="0" w:color="D1AA71"/>
            </w:tcBorders>
            <w:shd w:val="clear" w:color="auto" w:fill="auto"/>
            <w:vAlign w:val="center"/>
          </w:tcPr>
          <w:p w:rsidR="00144911" w:rsidRPr="008348B3" w:rsidRDefault="008348B3" w:rsidP="00864618">
            <w:pPr>
              <w:pStyle w:val="11TableP"/>
              <w:jc w:val="right"/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</w:pPr>
            <w:r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  <w:t>43.032</w:t>
            </w:r>
          </w:p>
        </w:tc>
        <w:tc>
          <w:tcPr>
            <w:tcW w:w="941" w:type="dxa"/>
            <w:tcBorders>
              <w:left w:val="single" w:sz="12" w:space="0" w:color="D1AA71"/>
            </w:tcBorders>
            <w:shd w:val="clear" w:color="auto" w:fill="auto"/>
            <w:vAlign w:val="center"/>
          </w:tcPr>
          <w:p w:rsidR="00144911" w:rsidRPr="00C74907" w:rsidRDefault="00144911" w:rsidP="00864618">
            <w:pPr>
              <w:pStyle w:val="11TableP"/>
              <w:jc w:val="right"/>
              <w:rPr>
                <w:rFonts w:cs="Calibri"/>
                <w:color w:val="000000" w:themeColor="text1"/>
                <w:sz w:val="18"/>
                <w:szCs w:val="18"/>
                <w:lang w:val="el-GR"/>
              </w:rPr>
            </w:pPr>
            <w:r w:rsidRPr="00C74907">
              <w:rPr>
                <w:rFonts w:cs="Calibri"/>
                <w:color w:val="000000" w:themeColor="text1"/>
                <w:sz w:val="18"/>
                <w:szCs w:val="18"/>
                <w:lang w:val="el-GR"/>
              </w:rPr>
              <w:t>65%</w:t>
            </w:r>
          </w:p>
        </w:tc>
      </w:tr>
      <w:tr w:rsidR="00144911" w:rsidRPr="00C74907" w:rsidTr="000B396F">
        <w:trPr>
          <w:trHeight w:val="209"/>
        </w:trPr>
        <w:tc>
          <w:tcPr>
            <w:tcW w:w="1943" w:type="dxa"/>
            <w:shd w:val="clear" w:color="auto" w:fill="auto"/>
            <w:tcMar>
              <w:left w:w="227" w:type="dxa"/>
            </w:tcMar>
            <w:vAlign w:val="center"/>
          </w:tcPr>
          <w:p w:rsidR="00144911" w:rsidRPr="00C74907" w:rsidRDefault="00144911" w:rsidP="00864618">
            <w:pPr>
              <w:pStyle w:val="11TableP"/>
              <w:rPr>
                <w:rFonts w:cs="Calibri"/>
                <w:color w:val="3F3F3F"/>
                <w:sz w:val="18"/>
                <w:szCs w:val="18"/>
                <w:lang w:val="el-GR"/>
              </w:rPr>
            </w:pPr>
            <w:r w:rsidRPr="00C74907">
              <w:rPr>
                <w:rFonts w:cs="Calibri"/>
                <w:color w:val="3F3F3F"/>
                <w:sz w:val="18"/>
                <w:szCs w:val="18"/>
                <w:lang w:val="el-GR"/>
              </w:rPr>
              <w:t>Ιδιώτες</w:t>
            </w:r>
          </w:p>
        </w:tc>
        <w:tc>
          <w:tcPr>
            <w:tcW w:w="1064" w:type="dxa"/>
            <w:tcBorders>
              <w:right w:val="single" w:sz="12" w:space="0" w:color="D1AA71"/>
            </w:tcBorders>
            <w:shd w:val="clear" w:color="auto" w:fill="auto"/>
            <w:vAlign w:val="center"/>
          </w:tcPr>
          <w:p w:rsidR="00144911" w:rsidRPr="00C74907" w:rsidRDefault="008348B3" w:rsidP="00864618">
            <w:pPr>
              <w:pStyle w:val="11TableP"/>
              <w:jc w:val="right"/>
              <w:rPr>
                <w:rFonts w:cstheme="majorHAns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  <w:t>23.258</w:t>
            </w:r>
          </w:p>
        </w:tc>
        <w:tc>
          <w:tcPr>
            <w:tcW w:w="941" w:type="dxa"/>
            <w:tcBorders>
              <w:left w:val="single" w:sz="12" w:space="0" w:color="D1AA71"/>
            </w:tcBorders>
            <w:shd w:val="clear" w:color="auto" w:fill="auto"/>
            <w:vAlign w:val="center"/>
          </w:tcPr>
          <w:p w:rsidR="00144911" w:rsidRPr="00C74907" w:rsidRDefault="00144911" w:rsidP="00864618">
            <w:pPr>
              <w:pStyle w:val="11TableP"/>
              <w:jc w:val="right"/>
              <w:rPr>
                <w:rFonts w:cs="Calibri"/>
                <w:color w:val="000000" w:themeColor="text1"/>
                <w:sz w:val="18"/>
                <w:szCs w:val="18"/>
                <w:lang w:val="el-GR"/>
              </w:rPr>
            </w:pPr>
            <w:r w:rsidRPr="00C74907">
              <w:rPr>
                <w:rFonts w:cs="Calibri"/>
                <w:color w:val="000000" w:themeColor="text1"/>
                <w:sz w:val="18"/>
                <w:szCs w:val="18"/>
                <w:lang w:val="el-GR"/>
              </w:rPr>
              <w:t>35%</w:t>
            </w:r>
          </w:p>
        </w:tc>
      </w:tr>
      <w:tr w:rsidR="00144911" w:rsidRPr="00C74907" w:rsidTr="000B396F">
        <w:trPr>
          <w:trHeight w:val="50"/>
        </w:trPr>
        <w:tc>
          <w:tcPr>
            <w:tcW w:w="1943" w:type="dxa"/>
            <w:shd w:val="clear" w:color="auto" w:fill="auto"/>
            <w:tcMar>
              <w:left w:w="227" w:type="dxa"/>
            </w:tcMar>
            <w:vAlign w:val="center"/>
          </w:tcPr>
          <w:p w:rsidR="00144911" w:rsidRPr="00C74907" w:rsidRDefault="00144911" w:rsidP="00864618">
            <w:pPr>
              <w:pStyle w:val="11TableP"/>
              <w:rPr>
                <w:rFonts w:cs="Calibri"/>
                <w:color w:val="81AAD5" w:themeColor="accent1" w:themeTint="99"/>
                <w:sz w:val="18"/>
                <w:szCs w:val="18"/>
              </w:rPr>
            </w:pPr>
          </w:p>
        </w:tc>
        <w:tc>
          <w:tcPr>
            <w:tcW w:w="1064" w:type="dxa"/>
            <w:tcBorders>
              <w:right w:val="single" w:sz="12" w:space="0" w:color="D1AA71"/>
            </w:tcBorders>
            <w:shd w:val="clear" w:color="auto" w:fill="auto"/>
            <w:vAlign w:val="center"/>
          </w:tcPr>
          <w:p w:rsidR="00144911" w:rsidRPr="00C74907" w:rsidRDefault="00144911" w:rsidP="00864618">
            <w:pPr>
              <w:pStyle w:val="11TableP"/>
              <w:jc w:val="right"/>
              <w:rPr>
                <w:rFonts w:cs="Calibri"/>
                <w:b/>
                <w:color w:val="81AAD5" w:themeColor="accent1" w:themeTint="99"/>
                <w:sz w:val="18"/>
                <w:szCs w:val="18"/>
                <w:lang w:val="el-GR"/>
              </w:rPr>
            </w:pPr>
          </w:p>
        </w:tc>
        <w:tc>
          <w:tcPr>
            <w:tcW w:w="941" w:type="dxa"/>
            <w:tcBorders>
              <w:left w:val="single" w:sz="12" w:space="0" w:color="D1AA71"/>
            </w:tcBorders>
            <w:shd w:val="clear" w:color="auto" w:fill="auto"/>
            <w:vAlign w:val="center"/>
          </w:tcPr>
          <w:p w:rsidR="00144911" w:rsidRPr="00C74907" w:rsidRDefault="00144911" w:rsidP="00864618">
            <w:pPr>
              <w:pStyle w:val="11TableP"/>
              <w:jc w:val="right"/>
              <w:rPr>
                <w:rFonts w:cs="Calibri"/>
                <w:b/>
                <w:color w:val="81AAD5" w:themeColor="accent1" w:themeTint="99"/>
                <w:sz w:val="18"/>
                <w:szCs w:val="18"/>
              </w:rPr>
            </w:pPr>
          </w:p>
        </w:tc>
      </w:tr>
      <w:tr w:rsidR="00144911" w:rsidRPr="00C74907" w:rsidTr="000B396F">
        <w:trPr>
          <w:trHeight w:val="209"/>
        </w:trPr>
        <w:tc>
          <w:tcPr>
            <w:tcW w:w="1943" w:type="dxa"/>
            <w:shd w:val="clear" w:color="auto" w:fill="auto"/>
            <w:tcMar>
              <w:left w:w="227" w:type="dxa"/>
            </w:tcMar>
            <w:vAlign w:val="center"/>
          </w:tcPr>
          <w:p w:rsidR="00144911" w:rsidRPr="00C74907" w:rsidRDefault="00144911" w:rsidP="00864618">
            <w:pPr>
              <w:pStyle w:val="11TableP"/>
              <w:rPr>
                <w:rFonts w:cs="Calibri"/>
                <w:b/>
                <w:color w:val="81AAD5" w:themeColor="accent1" w:themeTint="99"/>
                <w:sz w:val="18"/>
                <w:szCs w:val="18"/>
                <w:lang w:val="el-GR"/>
              </w:rPr>
            </w:pPr>
            <w:r w:rsidRPr="00C74907">
              <w:rPr>
                <w:rFonts w:cs="Calibri"/>
                <w:b/>
                <w:color w:val="81AAD5" w:themeColor="accent1" w:themeTint="99"/>
                <w:sz w:val="18"/>
                <w:szCs w:val="18"/>
                <w:lang w:val="el-GR"/>
              </w:rPr>
              <w:lastRenderedPageBreak/>
              <w:t>Σύνολο Δανείων</w:t>
            </w:r>
          </w:p>
        </w:tc>
        <w:tc>
          <w:tcPr>
            <w:tcW w:w="1064" w:type="dxa"/>
            <w:tcBorders>
              <w:right w:val="single" w:sz="12" w:space="0" w:color="D1AA71"/>
            </w:tcBorders>
            <w:shd w:val="clear" w:color="auto" w:fill="auto"/>
            <w:vAlign w:val="center"/>
          </w:tcPr>
          <w:p w:rsidR="00144911" w:rsidRPr="00C74907" w:rsidRDefault="00144911" w:rsidP="00864618">
            <w:pPr>
              <w:pStyle w:val="11TableP"/>
              <w:jc w:val="right"/>
              <w:rPr>
                <w:rFonts w:cs="Calibri"/>
                <w:b/>
                <w:color w:val="81AAD5" w:themeColor="accent1" w:themeTint="99"/>
                <w:sz w:val="18"/>
                <w:szCs w:val="18"/>
                <w:lang w:val="el-GR"/>
              </w:rPr>
            </w:pPr>
            <w:r w:rsidRPr="00C74907">
              <w:rPr>
                <w:rFonts w:cs="Calibri"/>
                <w:b/>
                <w:color w:val="81AAD5" w:themeColor="accent1" w:themeTint="99"/>
                <w:sz w:val="18"/>
                <w:szCs w:val="18"/>
                <w:lang w:val="el-GR"/>
              </w:rPr>
              <w:t>66.291</w:t>
            </w:r>
          </w:p>
        </w:tc>
        <w:tc>
          <w:tcPr>
            <w:tcW w:w="941" w:type="dxa"/>
            <w:tcBorders>
              <w:left w:val="single" w:sz="12" w:space="0" w:color="D1AA71"/>
            </w:tcBorders>
            <w:shd w:val="clear" w:color="auto" w:fill="auto"/>
            <w:vAlign w:val="center"/>
          </w:tcPr>
          <w:p w:rsidR="00144911" w:rsidRPr="00C74907" w:rsidRDefault="00144911" w:rsidP="00864618">
            <w:pPr>
              <w:pStyle w:val="11TableP"/>
              <w:jc w:val="right"/>
              <w:rPr>
                <w:rFonts w:cs="Calibri"/>
                <w:b/>
                <w:color w:val="81AAD5" w:themeColor="accent1" w:themeTint="99"/>
                <w:sz w:val="18"/>
                <w:szCs w:val="18"/>
              </w:rPr>
            </w:pPr>
            <w:r w:rsidRPr="00C74907">
              <w:rPr>
                <w:rFonts w:cs="Calibri"/>
                <w:b/>
                <w:color w:val="81AAD5" w:themeColor="accent1" w:themeTint="99"/>
                <w:sz w:val="18"/>
                <w:szCs w:val="18"/>
              </w:rPr>
              <w:t>100%</w:t>
            </w:r>
          </w:p>
        </w:tc>
      </w:tr>
      <w:tr w:rsidR="00144911" w:rsidRPr="00C74907" w:rsidTr="000B396F">
        <w:trPr>
          <w:trHeight w:val="209"/>
        </w:trPr>
        <w:tc>
          <w:tcPr>
            <w:tcW w:w="1943" w:type="dxa"/>
            <w:shd w:val="clear" w:color="auto" w:fill="auto"/>
            <w:tcMar>
              <w:left w:w="227" w:type="dxa"/>
            </w:tcMar>
            <w:vAlign w:val="center"/>
          </w:tcPr>
          <w:p w:rsidR="00144911" w:rsidRPr="00C74907" w:rsidRDefault="00144911" w:rsidP="00864618">
            <w:pPr>
              <w:pStyle w:val="11TableP"/>
              <w:numPr>
                <w:ilvl w:val="0"/>
                <w:numId w:val="3"/>
              </w:numPr>
              <w:tabs>
                <w:tab w:val="left" w:pos="426"/>
                <w:tab w:val="left" w:pos="642"/>
              </w:tabs>
              <w:ind w:left="156" w:firstLine="90"/>
              <w:rPr>
                <w:rFonts w:cs="Calibri"/>
                <w:color w:val="3F3F3F"/>
                <w:sz w:val="18"/>
                <w:szCs w:val="18"/>
              </w:rPr>
            </w:pPr>
            <w:r w:rsidRPr="00C74907">
              <w:rPr>
                <w:rFonts w:cs="Calibri"/>
                <w:color w:val="3F3F3F"/>
                <w:sz w:val="18"/>
                <w:szCs w:val="18"/>
                <w:lang w:val="el-GR"/>
              </w:rPr>
              <w:t>Ελλάδα</w:t>
            </w:r>
          </w:p>
        </w:tc>
        <w:tc>
          <w:tcPr>
            <w:tcW w:w="1064" w:type="dxa"/>
            <w:tcBorders>
              <w:right w:val="single" w:sz="12" w:space="0" w:color="D1AA71"/>
            </w:tcBorders>
            <w:shd w:val="clear" w:color="auto" w:fill="auto"/>
            <w:vAlign w:val="center"/>
          </w:tcPr>
          <w:p w:rsidR="00144911" w:rsidRPr="00B8429B" w:rsidRDefault="00E25ADE" w:rsidP="00DD1FE0">
            <w:pPr>
              <w:pStyle w:val="11TableP"/>
              <w:jc w:val="right"/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</w:pPr>
            <w:r>
              <w:rPr>
                <w:rFonts w:cstheme="majorHAnsi"/>
                <w:color w:val="000000" w:themeColor="text1"/>
                <w:sz w:val="18"/>
                <w:szCs w:val="18"/>
              </w:rPr>
              <w:t>62.26</w:t>
            </w:r>
            <w:r w:rsidR="00DD1FE0"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  <w:t>8</w:t>
            </w:r>
          </w:p>
        </w:tc>
        <w:tc>
          <w:tcPr>
            <w:tcW w:w="941" w:type="dxa"/>
            <w:tcBorders>
              <w:left w:val="single" w:sz="12" w:space="0" w:color="D1AA71"/>
            </w:tcBorders>
            <w:shd w:val="clear" w:color="auto" w:fill="auto"/>
            <w:vAlign w:val="center"/>
          </w:tcPr>
          <w:p w:rsidR="00144911" w:rsidRPr="00C74907" w:rsidRDefault="00144911" w:rsidP="00864618">
            <w:pPr>
              <w:pStyle w:val="11TableP"/>
              <w:jc w:val="right"/>
              <w:rPr>
                <w:rFonts w:cs="Calibri"/>
                <w:color w:val="000000" w:themeColor="text1"/>
                <w:sz w:val="18"/>
                <w:szCs w:val="18"/>
              </w:rPr>
            </w:pPr>
            <w:r w:rsidRPr="00C74907">
              <w:rPr>
                <w:rFonts w:cs="Calibri"/>
                <w:color w:val="000000" w:themeColor="text1"/>
                <w:sz w:val="18"/>
                <w:szCs w:val="18"/>
              </w:rPr>
              <w:t>94%</w:t>
            </w:r>
          </w:p>
        </w:tc>
      </w:tr>
      <w:tr w:rsidR="00144911" w:rsidRPr="00C74907" w:rsidTr="000B396F">
        <w:trPr>
          <w:trHeight w:val="209"/>
        </w:trPr>
        <w:tc>
          <w:tcPr>
            <w:tcW w:w="1943" w:type="dxa"/>
            <w:shd w:val="clear" w:color="auto" w:fill="auto"/>
            <w:tcMar>
              <w:left w:w="227" w:type="dxa"/>
            </w:tcMar>
            <w:vAlign w:val="center"/>
          </w:tcPr>
          <w:p w:rsidR="00144911" w:rsidRPr="00C74907" w:rsidRDefault="00144911" w:rsidP="00864618">
            <w:pPr>
              <w:pStyle w:val="11TableP"/>
              <w:numPr>
                <w:ilvl w:val="0"/>
                <w:numId w:val="3"/>
              </w:numPr>
              <w:tabs>
                <w:tab w:val="left" w:pos="426"/>
              </w:tabs>
              <w:ind w:left="246" w:firstLine="0"/>
              <w:rPr>
                <w:rFonts w:cs="Calibri"/>
                <w:color w:val="3F3F3F"/>
                <w:sz w:val="18"/>
                <w:szCs w:val="18"/>
              </w:rPr>
            </w:pPr>
            <w:r w:rsidRPr="00C74907">
              <w:rPr>
                <w:rFonts w:cs="Calibri"/>
                <w:color w:val="3F3F3F"/>
                <w:sz w:val="18"/>
                <w:szCs w:val="18"/>
                <w:lang w:val="el-GR"/>
              </w:rPr>
              <w:t>Εξωτερικό</w:t>
            </w:r>
          </w:p>
        </w:tc>
        <w:tc>
          <w:tcPr>
            <w:tcW w:w="1064" w:type="dxa"/>
            <w:tcBorders>
              <w:right w:val="single" w:sz="12" w:space="0" w:color="D1AA71"/>
            </w:tcBorders>
            <w:shd w:val="clear" w:color="auto" w:fill="auto"/>
            <w:vAlign w:val="center"/>
          </w:tcPr>
          <w:p w:rsidR="00144911" w:rsidRPr="00B8429B" w:rsidRDefault="00E25ADE" w:rsidP="00FB07BB">
            <w:pPr>
              <w:pStyle w:val="11TableP"/>
              <w:jc w:val="right"/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</w:pPr>
            <w:r>
              <w:rPr>
                <w:rFonts w:cstheme="majorHAnsi"/>
                <w:color w:val="000000" w:themeColor="text1"/>
                <w:sz w:val="18"/>
                <w:szCs w:val="18"/>
              </w:rPr>
              <w:t>4.02</w:t>
            </w:r>
            <w:r w:rsidR="00FB07BB">
              <w:rPr>
                <w:rFonts w:cstheme="majorHAnsi"/>
                <w:color w:val="000000" w:themeColor="text1"/>
                <w:sz w:val="18"/>
                <w:szCs w:val="18"/>
                <w:lang w:val="el-GR"/>
              </w:rPr>
              <w:t>2</w:t>
            </w:r>
          </w:p>
        </w:tc>
        <w:tc>
          <w:tcPr>
            <w:tcW w:w="941" w:type="dxa"/>
            <w:tcBorders>
              <w:left w:val="single" w:sz="12" w:space="0" w:color="D1AA71"/>
            </w:tcBorders>
            <w:shd w:val="clear" w:color="auto" w:fill="auto"/>
            <w:vAlign w:val="center"/>
          </w:tcPr>
          <w:p w:rsidR="00144911" w:rsidRPr="00C74907" w:rsidRDefault="00144911" w:rsidP="00864618">
            <w:pPr>
              <w:pStyle w:val="11TableP"/>
              <w:jc w:val="right"/>
              <w:rPr>
                <w:rFonts w:cs="Calibri"/>
                <w:color w:val="000000" w:themeColor="text1"/>
                <w:sz w:val="18"/>
                <w:szCs w:val="18"/>
              </w:rPr>
            </w:pPr>
            <w:r w:rsidRPr="00C74907">
              <w:rPr>
                <w:rFonts w:cs="Calibri"/>
                <w:color w:val="000000" w:themeColor="text1"/>
                <w:sz w:val="18"/>
                <w:szCs w:val="18"/>
              </w:rPr>
              <w:t>6%</w:t>
            </w:r>
          </w:p>
        </w:tc>
      </w:tr>
      <w:tr w:rsidR="00144911" w:rsidRPr="00C74907" w:rsidTr="000B396F">
        <w:trPr>
          <w:trHeight w:val="209"/>
        </w:trPr>
        <w:tc>
          <w:tcPr>
            <w:tcW w:w="1943" w:type="dxa"/>
            <w:shd w:val="clear" w:color="auto" w:fill="auto"/>
            <w:tcMar>
              <w:left w:w="227" w:type="dxa"/>
            </w:tcMar>
            <w:vAlign w:val="center"/>
          </w:tcPr>
          <w:p w:rsidR="00144911" w:rsidRPr="00C74907" w:rsidRDefault="00144911" w:rsidP="00864618">
            <w:pPr>
              <w:pStyle w:val="11TableP"/>
              <w:rPr>
                <w:rFonts w:cs="Calibri"/>
                <w:color w:val="81AAD5" w:themeColor="accent1" w:themeTint="99"/>
                <w:sz w:val="18"/>
                <w:szCs w:val="18"/>
                <w:lang w:val="el-GR"/>
              </w:rPr>
            </w:pPr>
          </w:p>
        </w:tc>
        <w:tc>
          <w:tcPr>
            <w:tcW w:w="1064" w:type="dxa"/>
            <w:tcBorders>
              <w:right w:val="single" w:sz="12" w:space="0" w:color="D1AA71"/>
            </w:tcBorders>
            <w:shd w:val="clear" w:color="auto" w:fill="auto"/>
            <w:vAlign w:val="center"/>
          </w:tcPr>
          <w:p w:rsidR="00144911" w:rsidRPr="00C74907" w:rsidRDefault="00144911" w:rsidP="00864618">
            <w:pPr>
              <w:pStyle w:val="11TableP"/>
              <w:jc w:val="right"/>
              <w:rPr>
                <w:rFonts w:cs="Calibri"/>
                <w:color w:val="81AAD5" w:themeColor="accent1" w:themeTint="99"/>
                <w:sz w:val="18"/>
                <w:szCs w:val="18"/>
              </w:rPr>
            </w:pPr>
          </w:p>
        </w:tc>
        <w:tc>
          <w:tcPr>
            <w:tcW w:w="941" w:type="dxa"/>
            <w:tcBorders>
              <w:left w:val="single" w:sz="12" w:space="0" w:color="D1AA71"/>
            </w:tcBorders>
            <w:shd w:val="clear" w:color="auto" w:fill="auto"/>
            <w:vAlign w:val="center"/>
          </w:tcPr>
          <w:p w:rsidR="00144911" w:rsidRPr="00C74907" w:rsidRDefault="00144911" w:rsidP="00864618">
            <w:pPr>
              <w:pStyle w:val="11TableP"/>
              <w:jc w:val="right"/>
              <w:rPr>
                <w:rFonts w:cs="Calibri"/>
                <w:color w:val="81AAD5" w:themeColor="accent1" w:themeTint="99"/>
                <w:sz w:val="18"/>
                <w:szCs w:val="18"/>
              </w:rPr>
            </w:pPr>
          </w:p>
        </w:tc>
      </w:tr>
      <w:tr w:rsidR="00144911" w:rsidRPr="00C74907" w:rsidTr="000B396F">
        <w:trPr>
          <w:trHeight w:val="209"/>
        </w:trPr>
        <w:tc>
          <w:tcPr>
            <w:tcW w:w="1943" w:type="dxa"/>
            <w:shd w:val="clear" w:color="auto" w:fill="auto"/>
            <w:tcMar>
              <w:left w:w="227" w:type="dxa"/>
            </w:tcMar>
            <w:vAlign w:val="center"/>
          </w:tcPr>
          <w:p w:rsidR="00144911" w:rsidRPr="00C74907" w:rsidRDefault="00144911" w:rsidP="00864618">
            <w:pPr>
              <w:pStyle w:val="11TableP"/>
              <w:rPr>
                <w:rFonts w:cs="Calibri"/>
                <w:color w:val="81AAD5" w:themeColor="accent1" w:themeTint="99"/>
                <w:sz w:val="18"/>
                <w:szCs w:val="18"/>
                <w:lang w:val="el-GR"/>
              </w:rPr>
            </w:pPr>
            <w:r w:rsidRPr="00C74907">
              <w:rPr>
                <w:rFonts w:cs="Calibri"/>
                <w:b/>
                <w:color w:val="81AAD5" w:themeColor="accent1" w:themeTint="99"/>
                <w:sz w:val="18"/>
                <w:szCs w:val="18"/>
                <w:lang w:val="el-GR"/>
              </w:rPr>
              <w:t>Καταθέσεις</w:t>
            </w:r>
          </w:p>
        </w:tc>
        <w:tc>
          <w:tcPr>
            <w:tcW w:w="1064" w:type="dxa"/>
            <w:tcBorders>
              <w:right w:val="single" w:sz="12" w:space="0" w:color="D1AA71"/>
            </w:tcBorders>
            <w:shd w:val="clear" w:color="auto" w:fill="auto"/>
            <w:vAlign w:val="center"/>
          </w:tcPr>
          <w:p w:rsidR="00144911" w:rsidRPr="00C74907" w:rsidRDefault="00144911" w:rsidP="00864618">
            <w:pPr>
              <w:pStyle w:val="11TableP"/>
              <w:jc w:val="right"/>
              <w:rPr>
                <w:rFonts w:cs="Calibri"/>
                <w:color w:val="81AAD5" w:themeColor="accent1" w:themeTint="99"/>
                <w:sz w:val="18"/>
                <w:szCs w:val="18"/>
              </w:rPr>
            </w:pPr>
          </w:p>
        </w:tc>
        <w:tc>
          <w:tcPr>
            <w:tcW w:w="941" w:type="dxa"/>
            <w:tcBorders>
              <w:left w:val="single" w:sz="12" w:space="0" w:color="D1AA71"/>
            </w:tcBorders>
            <w:shd w:val="clear" w:color="auto" w:fill="auto"/>
            <w:vAlign w:val="center"/>
          </w:tcPr>
          <w:p w:rsidR="00144911" w:rsidRPr="00C74907" w:rsidRDefault="00144911" w:rsidP="00864618">
            <w:pPr>
              <w:pStyle w:val="11TableP"/>
              <w:jc w:val="right"/>
              <w:rPr>
                <w:rFonts w:cs="Calibri"/>
                <w:color w:val="81AAD5" w:themeColor="accent1" w:themeTint="99"/>
                <w:sz w:val="18"/>
                <w:szCs w:val="18"/>
                <w:lang w:val="el-GR"/>
              </w:rPr>
            </w:pPr>
          </w:p>
        </w:tc>
      </w:tr>
      <w:tr w:rsidR="00144911" w:rsidRPr="00C74907" w:rsidTr="000B396F">
        <w:trPr>
          <w:trHeight w:val="209"/>
        </w:trPr>
        <w:tc>
          <w:tcPr>
            <w:tcW w:w="1943" w:type="dxa"/>
            <w:shd w:val="clear" w:color="auto" w:fill="auto"/>
            <w:tcMar>
              <w:left w:w="227" w:type="dxa"/>
            </w:tcMar>
            <w:vAlign w:val="center"/>
          </w:tcPr>
          <w:p w:rsidR="00144911" w:rsidRPr="00C74907" w:rsidRDefault="00144911" w:rsidP="00864618">
            <w:pPr>
              <w:pStyle w:val="11TableP"/>
              <w:tabs>
                <w:tab w:val="left" w:pos="284"/>
              </w:tabs>
              <w:rPr>
                <w:rFonts w:cs="Calibri"/>
                <w:color w:val="3F3F3F"/>
                <w:sz w:val="18"/>
                <w:szCs w:val="18"/>
                <w:lang w:val="el-GR"/>
              </w:rPr>
            </w:pPr>
            <w:r w:rsidRPr="00C74907">
              <w:rPr>
                <w:rFonts w:cs="Calibri"/>
                <w:color w:val="3F3F3F"/>
                <w:sz w:val="18"/>
                <w:szCs w:val="18"/>
                <w:lang w:val="el-GR"/>
              </w:rPr>
              <w:t>Ταμ/</w:t>
            </w:r>
            <w:proofErr w:type="spellStart"/>
            <w:r w:rsidRPr="00C74907">
              <w:rPr>
                <w:rFonts w:cs="Calibri"/>
                <w:color w:val="3F3F3F"/>
                <w:sz w:val="18"/>
                <w:szCs w:val="18"/>
                <w:lang w:val="el-GR"/>
              </w:rPr>
              <w:t>ρίου</w:t>
            </w:r>
            <w:proofErr w:type="spellEnd"/>
            <w:r w:rsidRPr="00C74907">
              <w:rPr>
                <w:rFonts w:cs="Calibri"/>
                <w:color w:val="3F3F3F"/>
                <w:sz w:val="18"/>
                <w:szCs w:val="18"/>
                <w:lang w:val="el-GR"/>
              </w:rPr>
              <w:t>-</w:t>
            </w:r>
            <w:proofErr w:type="spellStart"/>
            <w:r w:rsidRPr="00C74907">
              <w:rPr>
                <w:rFonts w:cs="Calibri"/>
                <w:color w:val="3F3F3F"/>
                <w:sz w:val="18"/>
                <w:szCs w:val="18"/>
                <w:lang w:val="el-GR"/>
              </w:rPr>
              <w:t>Οψεως</w:t>
            </w:r>
            <w:proofErr w:type="spellEnd"/>
          </w:p>
        </w:tc>
        <w:tc>
          <w:tcPr>
            <w:tcW w:w="1064" w:type="dxa"/>
            <w:tcBorders>
              <w:right w:val="single" w:sz="12" w:space="0" w:color="D1AA71"/>
            </w:tcBorders>
            <w:shd w:val="clear" w:color="auto" w:fill="auto"/>
            <w:vAlign w:val="center"/>
          </w:tcPr>
          <w:p w:rsidR="00144911" w:rsidRPr="0085525A" w:rsidRDefault="00144911" w:rsidP="00864618">
            <w:pPr>
              <w:pStyle w:val="11TableP"/>
              <w:jc w:val="right"/>
              <w:rPr>
                <w:rFonts w:cs="Calibri"/>
                <w:color w:val="3F3F3F"/>
                <w:sz w:val="18"/>
                <w:szCs w:val="18"/>
                <w:lang w:val="el-GR"/>
              </w:rPr>
            </w:pPr>
            <w:r w:rsidRPr="0085525A">
              <w:rPr>
                <w:rFonts w:cs="Calibri"/>
                <w:color w:val="3F3F3F"/>
                <w:sz w:val="18"/>
                <w:szCs w:val="18"/>
                <w:lang w:val="el-GR"/>
              </w:rPr>
              <w:t>2</w:t>
            </w:r>
            <w:r w:rsidR="00536E24">
              <w:rPr>
                <w:rFonts w:cs="Calibri"/>
                <w:color w:val="3F3F3F"/>
                <w:sz w:val="18"/>
                <w:szCs w:val="18"/>
                <w:lang w:val="el-GR"/>
              </w:rPr>
              <w:t>3</w:t>
            </w:r>
            <w:r w:rsidRPr="0085525A">
              <w:rPr>
                <w:rFonts w:cs="Calibri"/>
                <w:color w:val="3F3F3F"/>
                <w:sz w:val="18"/>
                <w:szCs w:val="18"/>
                <w:lang w:val="el-GR"/>
              </w:rPr>
              <w:t>.453</w:t>
            </w:r>
          </w:p>
        </w:tc>
        <w:tc>
          <w:tcPr>
            <w:tcW w:w="941" w:type="dxa"/>
            <w:tcBorders>
              <w:left w:val="single" w:sz="12" w:space="0" w:color="D1AA71"/>
            </w:tcBorders>
            <w:shd w:val="clear" w:color="auto" w:fill="auto"/>
            <w:vAlign w:val="center"/>
          </w:tcPr>
          <w:p w:rsidR="00144911" w:rsidRPr="0085525A" w:rsidRDefault="00144911" w:rsidP="00864618">
            <w:pPr>
              <w:pStyle w:val="11TableP"/>
              <w:jc w:val="right"/>
              <w:rPr>
                <w:rFonts w:cs="Calibri"/>
                <w:color w:val="3F3F3F"/>
                <w:sz w:val="18"/>
                <w:szCs w:val="18"/>
              </w:rPr>
            </w:pPr>
            <w:r w:rsidRPr="0085525A">
              <w:rPr>
                <w:rFonts w:cs="Calibri"/>
                <w:color w:val="3F3F3F"/>
                <w:sz w:val="18"/>
                <w:szCs w:val="18"/>
              </w:rPr>
              <w:t>62%</w:t>
            </w:r>
          </w:p>
        </w:tc>
      </w:tr>
      <w:tr w:rsidR="00144911" w:rsidRPr="00C74907" w:rsidTr="000B396F">
        <w:trPr>
          <w:trHeight w:val="209"/>
        </w:trPr>
        <w:tc>
          <w:tcPr>
            <w:tcW w:w="1943" w:type="dxa"/>
            <w:shd w:val="clear" w:color="auto" w:fill="auto"/>
            <w:tcMar>
              <w:left w:w="227" w:type="dxa"/>
            </w:tcMar>
            <w:vAlign w:val="center"/>
          </w:tcPr>
          <w:p w:rsidR="00144911" w:rsidRPr="00C74907" w:rsidRDefault="00144911" w:rsidP="00864618">
            <w:pPr>
              <w:pStyle w:val="11TableP"/>
              <w:tabs>
                <w:tab w:val="left" w:pos="284"/>
              </w:tabs>
              <w:rPr>
                <w:rFonts w:cs="Calibri"/>
                <w:color w:val="3F3F3F"/>
                <w:sz w:val="18"/>
                <w:szCs w:val="18"/>
                <w:lang w:val="el-GR"/>
              </w:rPr>
            </w:pPr>
            <w:r w:rsidRPr="00C74907">
              <w:rPr>
                <w:rFonts w:cs="Calibri"/>
                <w:color w:val="3F3F3F"/>
                <w:sz w:val="18"/>
                <w:szCs w:val="18"/>
                <w:lang w:val="el-GR"/>
              </w:rPr>
              <w:t>Τακτής Λήξης</w:t>
            </w:r>
          </w:p>
        </w:tc>
        <w:tc>
          <w:tcPr>
            <w:tcW w:w="1064" w:type="dxa"/>
            <w:tcBorders>
              <w:right w:val="single" w:sz="12" w:space="0" w:color="D1AA71"/>
            </w:tcBorders>
            <w:shd w:val="clear" w:color="auto" w:fill="auto"/>
            <w:vAlign w:val="center"/>
          </w:tcPr>
          <w:p w:rsidR="00144911" w:rsidRPr="0085525A" w:rsidRDefault="00144911" w:rsidP="00864618">
            <w:pPr>
              <w:pStyle w:val="11TableP"/>
              <w:jc w:val="right"/>
              <w:rPr>
                <w:rFonts w:cs="Calibri"/>
                <w:color w:val="3F3F3F"/>
                <w:sz w:val="18"/>
                <w:szCs w:val="18"/>
                <w:lang w:val="el-GR"/>
              </w:rPr>
            </w:pPr>
            <w:r w:rsidRPr="0085525A">
              <w:rPr>
                <w:rFonts w:cs="Calibri"/>
                <w:color w:val="3F3F3F"/>
                <w:sz w:val="18"/>
                <w:szCs w:val="18"/>
                <w:lang w:val="el-GR"/>
              </w:rPr>
              <w:t>14.458</w:t>
            </w:r>
          </w:p>
        </w:tc>
        <w:tc>
          <w:tcPr>
            <w:tcW w:w="941" w:type="dxa"/>
            <w:tcBorders>
              <w:left w:val="single" w:sz="12" w:space="0" w:color="D1AA71"/>
            </w:tcBorders>
            <w:shd w:val="clear" w:color="auto" w:fill="auto"/>
            <w:vAlign w:val="center"/>
          </w:tcPr>
          <w:p w:rsidR="00144911" w:rsidRPr="0085525A" w:rsidRDefault="00144911" w:rsidP="00864618">
            <w:pPr>
              <w:pStyle w:val="11TableP"/>
              <w:jc w:val="right"/>
              <w:rPr>
                <w:rFonts w:cs="Calibri"/>
                <w:color w:val="3F3F3F"/>
                <w:sz w:val="18"/>
                <w:szCs w:val="18"/>
              </w:rPr>
            </w:pPr>
            <w:r w:rsidRPr="0085525A">
              <w:rPr>
                <w:rFonts w:cs="Calibri"/>
                <w:color w:val="3F3F3F"/>
                <w:sz w:val="18"/>
                <w:szCs w:val="18"/>
              </w:rPr>
              <w:t>38%</w:t>
            </w:r>
          </w:p>
        </w:tc>
      </w:tr>
      <w:tr w:rsidR="00144911" w:rsidRPr="00C74907" w:rsidTr="000B396F">
        <w:trPr>
          <w:trHeight w:val="209"/>
        </w:trPr>
        <w:tc>
          <w:tcPr>
            <w:tcW w:w="1943" w:type="dxa"/>
            <w:shd w:val="clear" w:color="auto" w:fill="auto"/>
            <w:tcMar>
              <w:left w:w="227" w:type="dxa"/>
            </w:tcMar>
            <w:vAlign w:val="center"/>
          </w:tcPr>
          <w:p w:rsidR="00144911" w:rsidRPr="00C74907" w:rsidRDefault="00144911" w:rsidP="00864618">
            <w:pPr>
              <w:pStyle w:val="11TableP"/>
              <w:rPr>
                <w:rFonts w:cs="Calibri"/>
                <w:b/>
                <w:color w:val="81AAD5" w:themeColor="accent1" w:themeTint="99"/>
                <w:sz w:val="18"/>
                <w:szCs w:val="18"/>
              </w:rPr>
            </w:pPr>
          </w:p>
        </w:tc>
        <w:tc>
          <w:tcPr>
            <w:tcW w:w="1064" w:type="dxa"/>
            <w:tcBorders>
              <w:right w:val="single" w:sz="12" w:space="0" w:color="D1AA71"/>
            </w:tcBorders>
            <w:shd w:val="clear" w:color="auto" w:fill="auto"/>
            <w:vAlign w:val="center"/>
          </w:tcPr>
          <w:p w:rsidR="00144911" w:rsidRPr="00C74907" w:rsidRDefault="00144911" w:rsidP="00864618">
            <w:pPr>
              <w:pStyle w:val="11TableP"/>
              <w:jc w:val="right"/>
              <w:rPr>
                <w:rFonts w:cs="Calibri"/>
                <w:b/>
                <w:color w:val="81AAD5" w:themeColor="accent1" w:themeTint="99"/>
                <w:sz w:val="18"/>
                <w:szCs w:val="18"/>
                <w:lang w:val="el-GR"/>
              </w:rPr>
            </w:pPr>
          </w:p>
        </w:tc>
        <w:tc>
          <w:tcPr>
            <w:tcW w:w="941" w:type="dxa"/>
            <w:tcBorders>
              <w:left w:val="single" w:sz="12" w:space="0" w:color="D1AA71"/>
            </w:tcBorders>
            <w:shd w:val="clear" w:color="auto" w:fill="auto"/>
            <w:vAlign w:val="center"/>
          </w:tcPr>
          <w:p w:rsidR="00144911" w:rsidRPr="00C74907" w:rsidRDefault="00144911" w:rsidP="00864618">
            <w:pPr>
              <w:pStyle w:val="11TableP"/>
              <w:jc w:val="right"/>
              <w:rPr>
                <w:rFonts w:cs="Calibri"/>
                <w:b/>
                <w:color w:val="81AAD5" w:themeColor="accent1" w:themeTint="99"/>
                <w:sz w:val="18"/>
                <w:szCs w:val="18"/>
              </w:rPr>
            </w:pPr>
          </w:p>
        </w:tc>
      </w:tr>
      <w:tr w:rsidR="00144911" w:rsidRPr="00C74907" w:rsidTr="000B396F">
        <w:trPr>
          <w:trHeight w:val="209"/>
        </w:trPr>
        <w:tc>
          <w:tcPr>
            <w:tcW w:w="1943" w:type="dxa"/>
            <w:shd w:val="clear" w:color="auto" w:fill="auto"/>
            <w:tcMar>
              <w:left w:w="227" w:type="dxa"/>
            </w:tcMar>
            <w:vAlign w:val="center"/>
          </w:tcPr>
          <w:p w:rsidR="00144911" w:rsidRPr="000B396F" w:rsidRDefault="00864618" w:rsidP="00864618">
            <w:pPr>
              <w:pStyle w:val="11TableP"/>
              <w:rPr>
                <w:rFonts w:cs="Calibri"/>
                <w:b/>
                <w:color w:val="81AAD5" w:themeColor="accent1" w:themeTint="99"/>
                <w:sz w:val="18"/>
                <w:szCs w:val="18"/>
                <w:lang w:val="el-GR"/>
              </w:rPr>
            </w:pPr>
            <w:r>
              <w:rPr>
                <w:rFonts w:cs="Calibri"/>
                <w:b/>
                <w:color w:val="81AAD5" w:themeColor="accent1" w:themeTint="99"/>
                <w:sz w:val="18"/>
                <w:szCs w:val="18"/>
                <w:lang w:val="el-GR"/>
              </w:rPr>
              <w:t>Σύνολο Καταθέσεων</w:t>
            </w:r>
          </w:p>
        </w:tc>
        <w:tc>
          <w:tcPr>
            <w:tcW w:w="1064" w:type="dxa"/>
            <w:tcBorders>
              <w:right w:val="single" w:sz="12" w:space="0" w:color="D1AA71"/>
            </w:tcBorders>
            <w:shd w:val="clear" w:color="auto" w:fill="auto"/>
            <w:vAlign w:val="center"/>
          </w:tcPr>
          <w:p w:rsidR="00144911" w:rsidRPr="00C74907" w:rsidRDefault="0085525A" w:rsidP="00864618">
            <w:pPr>
              <w:pStyle w:val="11TableP"/>
              <w:jc w:val="right"/>
              <w:rPr>
                <w:rFonts w:cs="Calibri"/>
                <w:b/>
                <w:color w:val="81AAD5" w:themeColor="accent1" w:themeTint="99"/>
                <w:sz w:val="18"/>
                <w:szCs w:val="18"/>
                <w:lang w:val="el-GR"/>
              </w:rPr>
            </w:pPr>
            <w:r>
              <w:rPr>
                <w:rFonts w:cs="Calibri"/>
                <w:b/>
                <w:color w:val="81AAD5" w:themeColor="accent1" w:themeTint="99"/>
                <w:sz w:val="18"/>
                <w:szCs w:val="18"/>
                <w:lang w:val="el-GR"/>
              </w:rPr>
              <w:t>37.911</w:t>
            </w:r>
          </w:p>
        </w:tc>
        <w:tc>
          <w:tcPr>
            <w:tcW w:w="941" w:type="dxa"/>
            <w:tcBorders>
              <w:left w:val="single" w:sz="12" w:space="0" w:color="D1AA71"/>
            </w:tcBorders>
            <w:shd w:val="clear" w:color="auto" w:fill="auto"/>
            <w:vAlign w:val="center"/>
          </w:tcPr>
          <w:p w:rsidR="00144911" w:rsidRPr="00C74907" w:rsidRDefault="00144911" w:rsidP="00864618">
            <w:pPr>
              <w:pStyle w:val="11TableP"/>
              <w:jc w:val="right"/>
              <w:rPr>
                <w:rFonts w:cs="Calibri"/>
                <w:b/>
                <w:color w:val="81AAD5" w:themeColor="accent1" w:themeTint="99"/>
                <w:sz w:val="18"/>
                <w:szCs w:val="18"/>
              </w:rPr>
            </w:pPr>
            <w:r w:rsidRPr="00C74907">
              <w:rPr>
                <w:rFonts w:cs="Calibri"/>
                <w:b/>
                <w:color w:val="81AAD5" w:themeColor="accent1" w:themeTint="99"/>
                <w:sz w:val="18"/>
                <w:szCs w:val="18"/>
              </w:rPr>
              <w:t>100%</w:t>
            </w:r>
          </w:p>
        </w:tc>
      </w:tr>
      <w:tr w:rsidR="00144911" w:rsidRPr="00C74907" w:rsidTr="000B396F">
        <w:trPr>
          <w:trHeight w:val="209"/>
        </w:trPr>
        <w:tc>
          <w:tcPr>
            <w:tcW w:w="1943" w:type="dxa"/>
            <w:shd w:val="clear" w:color="auto" w:fill="auto"/>
            <w:tcMar>
              <w:left w:w="227" w:type="dxa"/>
            </w:tcMar>
            <w:vAlign w:val="center"/>
          </w:tcPr>
          <w:p w:rsidR="00144911" w:rsidRPr="00C74907" w:rsidRDefault="00144911" w:rsidP="00864618">
            <w:pPr>
              <w:pStyle w:val="11TableP"/>
              <w:numPr>
                <w:ilvl w:val="0"/>
                <w:numId w:val="3"/>
              </w:numPr>
              <w:tabs>
                <w:tab w:val="left" w:pos="426"/>
                <w:tab w:val="left" w:pos="642"/>
              </w:tabs>
              <w:ind w:left="156" w:firstLine="90"/>
              <w:rPr>
                <w:rFonts w:cs="Calibri"/>
                <w:color w:val="3F3F3F"/>
                <w:sz w:val="18"/>
                <w:szCs w:val="18"/>
              </w:rPr>
            </w:pPr>
            <w:r w:rsidRPr="00C74907">
              <w:rPr>
                <w:rFonts w:cs="Calibri"/>
                <w:color w:val="3F3F3F"/>
                <w:sz w:val="18"/>
                <w:szCs w:val="18"/>
                <w:lang w:val="el-GR"/>
              </w:rPr>
              <w:t>Ελλάδα</w:t>
            </w:r>
          </w:p>
        </w:tc>
        <w:tc>
          <w:tcPr>
            <w:tcW w:w="1064" w:type="dxa"/>
            <w:tcBorders>
              <w:right w:val="single" w:sz="12" w:space="0" w:color="D1AA71"/>
            </w:tcBorders>
            <w:shd w:val="clear" w:color="auto" w:fill="auto"/>
            <w:vAlign w:val="center"/>
          </w:tcPr>
          <w:p w:rsidR="00144911" w:rsidRPr="00C74907" w:rsidRDefault="00144911" w:rsidP="00864618">
            <w:pPr>
              <w:pStyle w:val="11TableP"/>
              <w:jc w:val="right"/>
              <w:rPr>
                <w:rFonts w:cs="Calibri"/>
                <w:b/>
                <w:color w:val="D1AA70" w:themeColor="accent2"/>
                <w:sz w:val="18"/>
                <w:szCs w:val="18"/>
                <w:lang w:val="el-GR"/>
              </w:rPr>
            </w:pPr>
            <w:r w:rsidRPr="00C74907">
              <w:rPr>
                <w:rFonts w:cs="Calibri"/>
                <w:color w:val="3F3F3F"/>
                <w:sz w:val="18"/>
                <w:szCs w:val="18"/>
                <w:lang w:val="el-GR"/>
              </w:rPr>
              <w:t>35.076</w:t>
            </w:r>
          </w:p>
        </w:tc>
        <w:tc>
          <w:tcPr>
            <w:tcW w:w="941" w:type="dxa"/>
            <w:tcBorders>
              <w:left w:val="single" w:sz="12" w:space="0" w:color="D1AA71"/>
            </w:tcBorders>
            <w:shd w:val="clear" w:color="auto" w:fill="auto"/>
            <w:vAlign w:val="center"/>
          </w:tcPr>
          <w:p w:rsidR="00144911" w:rsidRPr="00C74907" w:rsidRDefault="00144911" w:rsidP="00864618">
            <w:pPr>
              <w:pStyle w:val="11TableP"/>
              <w:jc w:val="right"/>
              <w:rPr>
                <w:rFonts w:cs="Calibri"/>
                <w:b/>
                <w:color w:val="D1AA70" w:themeColor="accent2"/>
                <w:sz w:val="18"/>
                <w:szCs w:val="18"/>
              </w:rPr>
            </w:pPr>
            <w:r w:rsidRPr="00C74907">
              <w:rPr>
                <w:rFonts w:cs="Calibri"/>
                <w:color w:val="3F3F3F"/>
                <w:sz w:val="18"/>
                <w:szCs w:val="18"/>
              </w:rPr>
              <w:t>93%</w:t>
            </w:r>
          </w:p>
        </w:tc>
      </w:tr>
      <w:tr w:rsidR="00144911" w:rsidRPr="00C74907" w:rsidTr="000B396F">
        <w:trPr>
          <w:trHeight w:val="209"/>
        </w:trPr>
        <w:tc>
          <w:tcPr>
            <w:tcW w:w="1943" w:type="dxa"/>
            <w:shd w:val="clear" w:color="auto" w:fill="auto"/>
            <w:tcMar>
              <w:left w:w="227" w:type="dxa"/>
            </w:tcMar>
            <w:vAlign w:val="center"/>
          </w:tcPr>
          <w:p w:rsidR="00144911" w:rsidRPr="00C74907" w:rsidRDefault="00144911" w:rsidP="00864618">
            <w:pPr>
              <w:pStyle w:val="11TableP"/>
              <w:numPr>
                <w:ilvl w:val="0"/>
                <w:numId w:val="3"/>
              </w:numPr>
              <w:tabs>
                <w:tab w:val="left" w:pos="426"/>
              </w:tabs>
              <w:ind w:left="246" w:firstLine="0"/>
              <w:rPr>
                <w:rFonts w:cs="Calibri"/>
                <w:color w:val="3F3F3F"/>
                <w:sz w:val="18"/>
                <w:szCs w:val="18"/>
              </w:rPr>
            </w:pPr>
            <w:r w:rsidRPr="00C74907">
              <w:rPr>
                <w:rFonts w:cs="Calibri"/>
                <w:color w:val="3F3F3F"/>
                <w:sz w:val="18"/>
                <w:szCs w:val="18"/>
                <w:lang w:val="el-GR"/>
              </w:rPr>
              <w:t>Εξωτερικό</w:t>
            </w:r>
          </w:p>
        </w:tc>
        <w:tc>
          <w:tcPr>
            <w:tcW w:w="1064" w:type="dxa"/>
            <w:tcBorders>
              <w:right w:val="single" w:sz="12" w:space="0" w:color="D1AA71"/>
            </w:tcBorders>
            <w:shd w:val="clear" w:color="auto" w:fill="auto"/>
            <w:vAlign w:val="center"/>
          </w:tcPr>
          <w:p w:rsidR="00144911" w:rsidRPr="00C74907" w:rsidRDefault="00144911" w:rsidP="00864618">
            <w:pPr>
              <w:pStyle w:val="11TableP"/>
              <w:jc w:val="right"/>
              <w:rPr>
                <w:rFonts w:cs="Calibri"/>
                <w:color w:val="3F3F3F"/>
                <w:sz w:val="18"/>
                <w:szCs w:val="18"/>
                <w:lang w:val="el-GR"/>
              </w:rPr>
            </w:pPr>
            <w:r w:rsidRPr="00C74907">
              <w:rPr>
                <w:rFonts w:cs="Calibri"/>
                <w:color w:val="3F3F3F"/>
                <w:sz w:val="18"/>
                <w:szCs w:val="18"/>
                <w:lang w:val="el-GR"/>
              </w:rPr>
              <w:t>2</w:t>
            </w:r>
            <w:r w:rsidRPr="00C74907">
              <w:rPr>
                <w:rFonts w:cs="Calibri"/>
                <w:color w:val="3F3F3F"/>
                <w:sz w:val="18"/>
                <w:szCs w:val="18"/>
              </w:rPr>
              <w:t>.</w:t>
            </w:r>
            <w:r w:rsidRPr="00C74907">
              <w:rPr>
                <w:rFonts w:cs="Calibri"/>
                <w:color w:val="3F3F3F"/>
                <w:sz w:val="18"/>
                <w:szCs w:val="18"/>
                <w:lang w:val="el-GR"/>
              </w:rPr>
              <w:t>835</w:t>
            </w:r>
          </w:p>
        </w:tc>
        <w:tc>
          <w:tcPr>
            <w:tcW w:w="941" w:type="dxa"/>
            <w:tcBorders>
              <w:left w:val="single" w:sz="12" w:space="0" w:color="D1AA71"/>
            </w:tcBorders>
            <w:shd w:val="clear" w:color="auto" w:fill="auto"/>
            <w:vAlign w:val="center"/>
          </w:tcPr>
          <w:p w:rsidR="00144911" w:rsidRPr="00C74907" w:rsidRDefault="00144911" w:rsidP="00864618">
            <w:pPr>
              <w:pStyle w:val="11TableP"/>
              <w:jc w:val="right"/>
              <w:rPr>
                <w:rFonts w:cs="Calibri"/>
                <w:color w:val="3F3F3F"/>
                <w:sz w:val="18"/>
                <w:szCs w:val="18"/>
              </w:rPr>
            </w:pPr>
            <w:r w:rsidRPr="00C74907">
              <w:rPr>
                <w:rFonts w:cs="Calibri"/>
                <w:color w:val="3F3F3F"/>
                <w:sz w:val="18"/>
                <w:szCs w:val="18"/>
              </w:rPr>
              <w:t>7%</w:t>
            </w:r>
          </w:p>
        </w:tc>
      </w:tr>
      <w:tr w:rsidR="00144911" w:rsidRPr="00C74907" w:rsidTr="000B396F">
        <w:trPr>
          <w:trHeight w:val="209"/>
        </w:trPr>
        <w:tc>
          <w:tcPr>
            <w:tcW w:w="1943" w:type="dxa"/>
            <w:shd w:val="clear" w:color="auto" w:fill="auto"/>
            <w:tcMar>
              <w:left w:w="227" w:type="dxa"/>
            </w:tcMar>
            <w:vAlign w:val="center"/>
          </w:tcPr>
          <w:p w:rsidR="00144911" w:rsidRPr="00C74907" w:rsidRDefault="00144911" w:rsidP="00864618">
            <w:pPr>
              <w:pStyle w:val="11TableP"/>
              <w:ind w:left="360"/>
              <w:jc w:val="right"/>
              <w:rPr>
                <w:rFonts w:cs="Calibri"/>
                <w:color w:val="3F3F3F"/>
                <w:sz w:val="12"/>
                <w:szCs w:val="12"/>
              </w:rPr>
            </w:pPr>
          </w:p>
        </w:tc>
        <w:tc>
          <w:tcPr>
            <w:tcW w:w="1064" w:type="dxa"/>
            <w:tcBorders>
              <w:right w:val="single" w:sz="12" w:space="0" w:color="D1AA71"/>
            </w:tcBorders>
            <w:shd w:val="clear" w:color="auto" w:fill="auto"/>
            <w:vAlign w:val="center"/>
          </w:tcPr>
          <w:p w:rsidR="00144911" w:rsidRPr="00C74907" w:rsidRDefault="00144911" w:rsidP="00864618">
            <w:pPr>
              <w:pStyle w:val="11TableP"/>
              <w:jc w:val="right"/>
              <w:rPr>
                <w:rFonts w:cs="Calibri"/>
                <w:color w:val="3F3F3F"/>
                <w:sz w:val="18"/>
                <w:szCs w:val="18"/>
              </w:rPr>
            </w:pPr>
          </w:p>
        </w:tc>
        <w:tc>
          <w:tcPr>
            <w:tcW w:w="941" w:type="dxa"/>
            <w:tcBorders>
              <w:left w:val="single" w:sz="12" w:space="0" w:color="D1AA71"/>
            </w:tcBorders>
            <w:shd w:val="clear" w:color="auto" w:fill="auto"/>
            <w:vAlign w:val="center"/>
          </w:tcPr>
          <w:p w:rsidR="00144911" w:rsidRPr="00C74907" w:rsidRDefault="00144911" w:rsidP="00864618">
            <w:pPr>
              <w:pStyle w:val="11TableP"/>
              <w:jc w:val="right"/>
              <w:rPr>
                <w:rFonts w:cs="Calibri"/>
                <w:color w:val="3F3F3F"/>
                <w:sz w:val="18"/>
                <w:szCs w:val="18"/>
              </w:rPr>
            </w:pPr>
          </w:p>
        </w:tc>
      </w:tr>
      <w:tr w:rsidR="00144911" w:rsidRPr="00C74907" w:rsidTr="000B396F">
        <w:trPr>
          <w:trHeight w:val="209"/>
        </w:trPr>
        <w:tc>
          <w:tcPr>
            <w:tcW w:w="1943" w:type="dxa"/>
            <w:shd w:val="clear" w:color="auto" w:fill="auto"/>
            <w:tcMar>
              <w:left w:w="227" w:type="dxa"/>
            </w:tcMar>
            <w:vAlign w:val="center"/>
          </w:tcPr>
          <w:p w:rsidR="00144911" w:rsidRPr="00C74907" w:rsidRDefault="00144911" w:rsidP="00864618">
            <w:pPr>
              <w:pStyle w:val="11TableP"/>
              <w:ind w:left="360"/>
              <w:jc w:val="right"/>
              <w:rPr>
                <w:rFonts w:cs="Calibri"/>
                <w:color w:val="3F3F3F"/>
                <w:sz w:val="18"/>
                <w:szCs w:val="18"/>
              </w:rPr>
            </w:pPr>
          </w:p>
        </w:tc>
        <w:tc>
          <w:tcPr>
            <w:tcW w:w="1064" w:type="dxa"/>
            <w:tcBorders>
              <w:right w:val="single" w:sz="12" w:space="0" w:color="D1AA71"/>
            </w:tcBorders>
            <w:shd w:val="clear" w:color="auto" w:fill="auto"/>
            <w:vAlign w:val="center"/>
          </w:tcPr>
          <w:p w:rsidR="00144911" w:rsidRPr="00C74907" w:rsidRDefault="00144911" w:rsidP="00864618">
            <w:pPr>
              <w:pStyle w:val="11TableP"/>
              <w:jc w:val="right"/>
              <w:rPr>
                <w:rFonts w:cs="Calibri"/>
                <w:color w:val="3F3F3F"/>
                <w:sz w:val="18"/>
                <w:szCs w:val="18"/>
              </w:rPr>
            </w:pPr>
          </w:p>
        </w:tc>
        <w:tc>
          <w:tcPr>
            <w:tcW w:w="941" w:type="dxa"/>
            <w:tcBorders>
              <w:left w:val="single" w:sz="12" w:space="0" w:color="D1AA71"/>
            </w:tcBorders>
            <w:shd w:val="clear" w:color="auto" w:fill="auto"/>
            <w:vAlign w:val="center"/>
          </w:tcPr>
          <w:p w:rsidR="00144911" w:rsidRPr="00C74907" w:rsidRDefault="00144911" w:rsidP="00864618">
            <w:pPr>
              <w:pStyle w:val="11TableP"/>
              <w:jc w:val="right"/>
              <w:rPr>
                <w:rFonts w:cs="Calibri"/>
                <w:color w:val="3F3F3F"/>
                <w:sz w:val="18"/>
                <w:szCs w:val="18"/>
              </w:rPr>
            </w:pPr>
          </w:p>
        </w:tc>
      </w:tr>
    </w:tbl>
    <w:p w:rsidR="00824F28" w:rsidRPr="00C74907" w:rsidRDefault="00824F28" w:rsidP="00824F28">
      <w:pPr>
        <w:pStyle w:val="05PLAINTEXT"/>
        <w:ind w:left="2552" w:right="-285"/>
        <w:rPr>
          <w:lang w:val="el-GR"/>
        </w:rPr>
      </w:pPr>
      <w:r w:rsidRPr="00C74907">
        <w:rPr>
          <w:lang w:val="el-GR"/>
        </w:rPr>
        <w:t xml:space="preserve">Τα </w:t>
      </w:r>
      <w:r w:rsidRPr="00C74907">
        <w:rPr>
          <w:b/>
          <w:lang w:val="el-GR"/>
        </w:rPr>
        <w:t>δάνεια προ προβλέψεων και προσαρμογών</w:t>
      </w:r>
      <w:r w:rsidRPr="00C74907">
        <w:rPr>
          <w:lang w:val="el-GR"/>
        </w:rPr>
        <w:t xml:space="preserve"> διαμορφώθηκαν στο τέλος Μαρτίου 2016 σε €66,3 δισ., -3% έναντι  του Δεκεμβρίου 2015, λόγω της </w:t>
      </w:r>
      <w:proofErr w:type="spellStart"/>
      <w:r w:rsidRPr="00C74907">
        <w:rPr>
          <w:lang w:val="el-GR"/>
        </w:rPr>
        <w:t>συρρικνούμενης</w:t>
      </w:r>
      <w:proofErr w:type="spellEnd"/>
      <w:r w:rsidRPr="00C74907">
        <w:rPr>
          <w:lang w:val="el-GR"/>
        </w:rPr>
        <w:t xml:space="preserve"> οικονομικής δραστηριότητας στην Ελλάδα (ΑΕΠ </w:t>
      </w:r>
      <w:r w:rsidR="0085525A">
        <w:rPr>
          <w:lang w:val="el-GR"/>
        </w:rPr>
        <w:t xml:space="preserve">1ου 3μ </w:t>
      </w:r>
      <w:r w:rsidRPr="00C74907">
        <w:rPr>
          <w:lang w:val="el-GR"/>
        </w:rPr>
        <w:t>201</w:t>
      </w:r>
      <w:r w:rsidR="0085525A">
        <w:rPr>
          <w:lang w:val="el-GR"/>
        </w:rPr>
        <w:t>6</w:t>
      </w:r>
      <w:r w:rsidRPr="00C74907">
        <w:rPr>
          <w:lang w:val="el-GR"/>
        </w:rPr>
        <w:t xml:space="preserve"> -</w:t>
      </w:r>
      <w:r w:rsidR="0085525A">
        <w:rPr>
          <w:lang w:val="el-GR"/>
        </w:rPr>
        <w:t>1</w:t>
      </w:r>
      <w:r w:rsidRPr="00C74907">
        <w:rPr>
          <w:lang w:val="el-GR"/>
        </w:rPr>
        <w:t>,3%</w:t>
      </w:r>
      <w:r w:rsidR="0085525A">
        <w:rPr>
          <w:lang w:val="el-GR"/>
        </w:rPr>
        <w:t xml:space="preserve"> ετησίως, -0,4% σε τριμηνιαία βάση</w:t>
      </w:r>
      <w:r w:rsidRPr="00C74907">
        <w:rPr>
          <w:lang w:val="el-GR"/>
        </w:rPr>
        <w:t>)</w:t>
      </w:r>
      <w:r w:rsidR="0085525A">
        <w:rPr>
          <w:lang w:val="el-GR"/>
        </w:rPr>
        <w:t>, αλλά και διαγραφών και αποπληρωμής εποχικού δανείου</w:t>
      </w:r>
      <w:r w:rsidRPr="00C74907">
        <w:rPr>
          <w:lang w:val="el-GR"/>
        </w:rPr>
        <w:t xml:space="preserve">. Το σύνολο των δανείων στην Ελλάδα </w:t>
      </w:r>
      <w:r w:rsidRPr="0085525A">
        <w:rPr>
          <w:lang w:val="el-GR"/>
        </w:rPr>
        <w:t xml:space="preserve">διαμορφώθηκε στα </w:t>
      </w:r>
      <w:r w:rsidR="00E25ADE" w:rsidRPr="00B8429B">
        <w:rPr>
          <w:lang w:val="el-GR"/>
        </w:rPr>
        <w:t>€62</w:t>
      </w:r>
      <w:r w:rsidR="00C74BC2">
        <w:rPr>
          <w:lang w:val="el-GR"/>
        </w:rPr>
        <w:t>,3</w:t>
      </w:r>
      <w:r w:rsidRPr="0085525A">
        <w:rPr>
          <w:lang w:val="el-GR"/>
        </w:rPr>
        <w:t xml:space="preserve"> δισ. ενώ τα δάνεια από τις διεθνείς δραστηριότητες διαμορφώθηκαν στα </w:t>
      </w:r>
      <w:r w:rsidR="00E25ADE" w:rsidRPr="00B8429B">
        <w:rPr>
          <w:lang w:val="el-GR"/>
        </w:rPr>
        <w:t>€4</w:t>
      </w:r>
      <w:r w:rsidR="00C74BC2">
        <w:rPr>
          <w:lang w:val="el-GR"/>
        </w:rPr>
        <w:t>,0 δισ</w:t>
      </w:r>
      <w:r w:rsidRPr="0085525A">
        <w:rPr>
          <w:lang w:val="el-GR"/>
        </w:rPr>
        <w:t>.</w:t>
      </w:r>
      <w:r w:rsidRPr="00C74907">
        <w:rPr>
          <w:lang w:val="el-GR"/>
        </w:rPr>
        <w:t xml:space="preserve"> Το υπόλοιπο των δανείων μετά από προβλέψεις διαμορφώθηκε στα €48,9 δισ., με τον δείκτη δανείων προς καταθέσεις του Ομίλου Πειραιώς να βελτιώνεται </w:t>
      </w:r>
      <w:r w:rsidR="0085525A">
        <w:rPr>
          <w:lang w:val="el-GR"/>
        </w:rPr>
        <w:t xml:space="preserve">οριακά </w:t>
      </w:r>
      <w:r w:rsidRPr="00C74907">
        <w:rPr>
          <w:lang w:val="el-GR"/>
        </w:rPr>
        <w:t xml:space="preserve">στο 129% από 130% στο τέλος </w:t>
      </w:r>
      <w:r w:rsidR="0085525A">
        <w:rPr>
          <w:lang w:val="el-GR"/>
        </w:rPr>
        <w:t xml:space="preserve">του </w:t>
      </w:r>
      <w:r w:rsidRPr="00C74907">
        <w:rPr>
          <w:lang w:val="el-GR"/>
        </w:rPr>
        <w:t>201</w:t>
      </w:r>
      <w:r w:rsidR="0085525A">
        <w:rPr>
          <w:lang w:val="el-GR"/>
        </w:rPr>
        <w:t>5</w:t>
      </w:r>
      <w:r w:rsidRPr="00C74907">
        <w:rPr>
          <w:lang w:val="el-GR"/>
        </w:rPr>
        <w:t>.</w:t>
      </w:r>
    </w:p>
    <w:p w:rsidR="00824F28" w:rsidRPr="00C74907" w:rsidRDefault="00824F28" w:rsidP="00824F28">
      <w:pPr>
        <w:pStyle w:val="05PLAINTEXT"/>
        <w:ind w:left="2552" w:right="-285"/>
        <w:rPr>
          <w:lang w:val="el-GR"/>
        </w:rPr>
      </w:pPr>
    </w:p>
    <w:p w:rsidR="00824F28" w:rsidRPr="00C74907" w:rsidRDefault="00824F28" w:rsidP="00824F28">
      <w:pPr>
        <w:pStyle w:val="05PLAINTEXT"/>
        <w:ind w:left="2552" w:right="-285"/>
        <w:rPr>
          <w:lang w:val="el-GR"/>
        </w:rPr>
      </w:pPr>
      <w:r w:rsidRPr="00C74907">
        <w:rPr>
          <w:color w:val="000000" w:themeColor="text1"/>
          <w:lang w:val="el-GR"/>
        </w:rPr>
        <w:t xml:space="preserve">Η </w:t>
      </w:r>
      <w:r w:rsidRPr="00C74907">
        <w:rPr>
          <w:b/>
          <w:color w:val="000000" w:themeColor="text1"/>
          <w:lang w:val="el-GR"/>
        </w:rPr>
        <w:t xml:space="preserve">χρηματοδότηση της Τράπεζας Πειραιώς μέσω του </w:t>
      </w:r>
      <w:proofErr w:type="spellStart"/>
      <w:r w:rsidRPr="00C74907">
        <w:rPr>
          <w:b/>
          <w:color w:val="000000" w:themeColor="text1"/>
          <w:lang w:val="el-GR"/>
        </w:rPr>
        <w:t>Ευρωσυστήματος</w:t>
      </w:r>
      <w:proofErr w:type="spellEnd"/>
      <w:r w:rsidRPr="00C74907">
        <w:rPr>
          <w:b/>
          <w:color w:val="000000" w:themeColor="text1"/>
          <w:lang w:val="el-GR"/>
        </w:rPr>
        <w:t xml:space="preserve"> </w:t>
      </w:r>
      <w:r w:rsidRPr="00C74907">
        <w:rPr>
          <w:color w:val="000000" w:themeColor="text1"/>
          <w:lang w:val="el-GR"/>
        </w:rPr>
        <w:t>στις 31 Μαρτίου 2016 αποκλιμακώθηκε σε €30,4 δι</w:t>
      </w:r>
      <w:r w:rsidR="0085525A">
        <w:rPr>
          <w:color w:val="000000" w:themeColor="text1"/>
          <w:lang w:val="el-GR"/>
        </w:rPr>
        <w:t>σ.</w:t>
      </w:r>
      <w:r w:rsidRPr="00C74907">
        <w:rPr>
          <w:color w:val="000000" w:themeColor="text1"/>
          <w:lang w:val="el-GR"/>
        </w:rPr>
        <w:t xml:space="preserve"> (</w:t>
      </w:r>
      <w:r w:rsidRPr="000B396F">
        <w:rPr>
          <w:color w:val="000000" w:themeColor="text1"/>
          <w:shd w:val="clear" w:color="auto" w:fill="FFFFFF" w:themeFill="background1"/>
          <w:lang w:val="en-US"/>
        </w:rPr>
        <w:t>E</w:t>
      </w:r>
      <w:r w:rsidR="0085525A" w:rsidRPr="000B396F">
        <w:rPr>
          <w:color w:val="000000" w:themeColor="text1"/>
          <w:shd w:val="clear" w:color="auto" w:fill="FFFFFF" w:themeFill="background1"/>
          <w:lang w:val="el-GR"/>
        </w:rPr>
        <w:t>ΚΤ</w:t>
      </w:r>
      <w:r w:rsidRPr="000B396F">
        <w:rPr>
          <w:color w:val="000000" w:themeColor="text1"/>
          <w:shd w:val="clear" w:color="auto" w:fill="FFFFFF" w:themeFill="background1"/>
          <w:lang w:val="el-GR"/>
        </w:rPr>
        <w:t>: €</w:t>
      </w:r>
      <w:r w:rsidRPr="005A5F06">
        <w:rPr>
          <w:color w:val="000000" w:themeColor="text1"/>
          <w:shd w:val="clear" w:color="auto" w:fill="FFFFFF" w:themeFill="background1"/>
          <w:lang w:val="el-GR"/>
        </w:rPr>
        <w:t xml:space="preserve">14,4 δισ. και </w:t>
      </w:r>
      <w:r w:rsidR="0085525A" w:rsidRPr="000B396F">
        <w:rPr>
          <w:color w:val="000000" w:themeColor="text1"/>
          <w:shd w:val="clear" w:color="auto" w:fill="FFFFFF" w:themeFill="background1"/>
          <w:lang w:val="en-US"/>
        </w:rPr>
        <w:t>ELA</w:t>
      </w:r>
      <w:r w:rsidR="0085525A" w:rsidRPr="005A5F06">
        <w:rPr>
          <w:color w:val="000000" w:themeColor="text1"/>
          <w:shd w:val="clear" w:color="auto" w:fill="FFFFFF" w:themeFill="background1"/>
          <w:lang w:val="el-GR"/>
        </w:rPr>
        <w:t xml:space="preserve"> </w:t>
      </w:r>
      <w:r w:rsidRPr="005A5F06">
        <w:rPr>
          <w:color w:val="000000" w:themeColor="text1"/>
          <w:shd w:val="clear" w:color="auto" w:fill="FFFFFF" w:themeFill="background1"/>
          <w:lang w:val="el-GR"/>
        </w:rPr>
        <w:t>€16,</w:t>
      </w:r>
      <w:r w:rsidR="00864618" w:rsidRPr="005A5F06">
        <w:rPr>
          <w:color w:val="000000" w:themeColor="text1"/>
          <w:shd w:val="clear" w:color="auto" w:fill="FFFFFF" w:themeFill="background1"/>
          <w:lang w:val="el-GR"/>
        </w:rPr>
        <w:t xml:space="preserve">1 </w:t>
      </w:r>
      <w:r w:rsidRPr="005A5F06">
        <w:rPr>
          <w:color w:val="000000" w:themeColor="text1"/>
          <w:shd w:val="clear" w:color="auto" w:fill="FFFFFF" w:themeFill="background1"/>
          <w:lang w:val="el-GR"/>
        </w:rPr>
        <w:t>δισ.) από €32,7 δι</w:t>
      </w:r>
      <w:r w:rsidR="0085525A" w:rsidRPr="005A5F06">
        <w:rPr>
          <w:color w:val="000000" w:themeColor="text1"/>
          <w:shd w:val="clear" w:color="auto" w:fill="FFFFFF" w:themeFill="background1"/>
          <w:lang w:val="el-GR"/>
        </w:rPr>
        <w:t>σ.</w:t>
      </w:r>
      <w:r w:rsidRPr="005A5F06">
        <w:rPr>
          <w:color w:val="000000" w:themeColor="text1"/>
          <w:shd w:val="clear" w:color="auto" w:fill="FFFFFF" w:themeFill="background1"/>
          <w:lang w:val="el-GR"/>
        </w:rPr>
        <w:t xml:space="preserve"> στις 31 Δεκεμβρίου 2015.  Η μείωση</w:t>
      </w:r>
      <w:r w:rsidRPr="00C74907">
        <w:rPr>
          <w:color w:val="000000" w:themeColor="text1"/>
          <w:lang w:val="el-GR"/>
        </w:rPr>
        <w:t xml:space="preserve"> αυτή </w:t>
      </w:r>
      <w:r w:rsidR="0085525A">
        <w:rPr>
          <w:color w:val="000000" w:themeColor="text1"/>
          <w:lang w:val="el-GR"/>
        </w:rPr>
        <w:t>προήλθε από την άνοδο της χρηματοδότησης μέσω διατραπεζικής αγοράς</w:t>
      </w:r>
      <w:r w:rsidR="00E6209A">
        <w:rPr>
          <w:color w:val="000000" w:themeColor="text1"/>
          <w:lang w:val="el-GR"/>
        </w:rPr>
        <w:t xml:space="preserve"> και την </w:t>
      </w:r>
      <w:proofErr w:type="spellStart"/>
      <w:r w:rsidR="00E6209A">
        <w:rPr>
          <w:color w:val="000000" w:themeColor="text1"/>
          <w:lang w:val="el-GR"/>
        </w:rPr>
        <w:t>απομόχλευση</w:t>
      </w:r>
      <w:proofErr w:type="spellEnd"/>
      <w:r w:rsidR="00E6209A">
        <w:rPr>
          <w:color w:val="000000" w:themeColor="text1"/>
          <w:lang w:val="el-GR"/>
        </w:rPr>
        <w:t xml:space="preserve"> του δανειακού χαρτοφυλακίου</w:t>
      </w:r>
      <w:r w:rsidRPr="00C74907">
        <w:rPr>
          <w:color w:val="000000" w:themeColor="text1"/>
          <w:lang w:val="el-GR"/>
        </w:rPr>
        <w:t xml:space="preserve">.  </w:t>
      </w:r>
    </w:p>
    <w:p w:rsidR="00F83A59" w:rsidRPr="0085525A" w:rsidRDefault="00824F28" w:rsidP="00F83A59">
      <w:pPr>
        <w:pStyle w:val="ab"/>
        <w:spacing w:before="120"/>
        <w:ind w:left="2552" w:right="-285"/>
        <w:contextualSpacing/>
        <w:rPr>
          <w:rFonts w:asciiTheme="majorHAnsi" w:eastAsiaTheme="minorEastAsia" w:hAnsiTheme="majorHAnsi" w:cstheme="majorHAnsi"/>
          <w:color w:val="000000" w:themeColor="text1"/>
          <w:sz w:val="19"/>
          <w:szCs w:val="19"/>
          <w:lang w:val="el-GR" w:eastAsia="el-GR"/>
        </w:rPr>
      </w:pPr>
      <w:r w:rsidRPr="0085525A">
        <w:rPr>
          <w:rFonts w:asciiTheme="majorHAnsi" w:eastAsiaTheme="minorEastAsia" w:hAnsiTheme="majorHAnsi" w:cstheme="majorHAnsi"/>
          <w:color w:val="000000" w:themeColor="text1"/>
          <w:sz w:val="19"/>
          <w:szCs w:val="19"/>
          <w:lang w:val="el-GR" w:eastAsia="el-GR"/>
        </w:rPr>
        <w:t>Σημειώνεται ότι στις 28 Απριλίου 2016 έληξαν οι τελευταίες Εγγυήσεις του Ελληνικού Δημοσίου (Πυλώνας ΙΙ) που χρησιμοποιούσε η Τράπεζα Πειραιώς για την άντληση ρευστότητας στο πλαίσιο του Ν. 3723/2008. Με</w:t>
      </w:r>
      <w:r w:rsidR="00F83A59" w:rsidRPr="0085525A">
        <w:rPr>
          <w:rFonts w:asciiTheme="majorHAnsi" w:eastAsiaTheme="minorEastAsia" w:hAnsiTheme="majorHAnsi" w:cstheme="majorHAnsi"/>
          <w:color w:val="000000" w:themeColor="text1"/>
          <w:sz w:val="19"/>
          <w:szCs w:val="19"/>
          <w:lang w:val="el-GR" w:eastAsia="el-GR"/>
        </w:rPr>
        <w:t xml:space="preserve"> τη λήξη των εγγυήσεων του Πυλώνα ΙΙ, η Τράπεζα Πειραιώς </w:t>
      </w:r>
      <w:r w:rsidR="0085525A">
        <w:rPr>
          <w:rFonts w:asciiTheme="majorHAnsi" w:eastAsiaTheme="minorEastAsia" w:hAnsiTheme="majorHAnsi" w:cstheme="majorHAnsi"/>
          <w:color w:val="000000" w:themeColor="text1"/>
          <w:sz w:val="19"/>
          <w:szCs w:val="19"/>
          <w:lang w:val="el-GR" w:eastAsia="el-GR"/>
        </w:rPr>
        <w:t>έπαυσε</w:t>
      </w:r>
      <w:r w:rsidR="00F83A59" w:rsidRPr="0085525A">
        <w:rPr>
          <w:rFonts w:asciiTheme="majorHAnsi" w:eastAsiaTheme="minorEastAsia" w:hAnsiTheme="majorHAnsi" w:cstheme="majorHAnsi"/>
          <w:color w:val="000000" w:themeColor="text1"/>
          <w:sz w:val="19"/>
          <w:szCs w:val="19"/>
          <w:lang w:val="el-GR" w:eastAsia="el-GR"/>
        </w:rPr>
        <w:t xml:space="preserve"> να κάνει χρήση των μέτρων του Ν. 3723/2008 και κατά συνέπεια </w:t>
      </w:r>
      <w:r w:rsidR="0085525A">
        <w:rPr>
          <w:rFonts w:asciiTheme="majorHAnsi" w:eastAsiaTheme="minorEastAsia" w:hAnsiTheme="majorHAnsi" w:cstheme="majorHAnsi"/>
          <w:color w:val="000000" w:themeColor="text1"/>
          <w:sz w:val="19"/>
          <w:szCs w:val="19"/>
          <w:lang w:val="el-GR" w:eastAsia="el-GR"/>
        </w:rPr>
        <w:t>και</w:t>
      </w:r>
      <w:r w:rsidR="00F83A59" w:rsidRPr="0085525A">
        <w:rPr>
          <w:rFonts w:asciiTheme="majorHAnsi" w:eastAsiaTheme="minorEastAsia" w:hAnsiTheme="majorHAnsi" w:cstheme="majorHAnsi"/>
          <w:color w:val="000000" w:themeColor="text1"/>
          <w:sz w:val="19"/>
          <w:szCs w:val="19"/>
          <w:lang w:val="el-GR" w:eastAsia="el-GR"/>
        </w:rPr>
        <w:t xml:space="preserve"> να εμπίπτει στις δεσμεύσεις του προγράμματος θωράκισης </w:t>
      </w:r>
    </w:p>
    <w:p w:rsidR="00F83A59" w:rsidRPr="00C74907" w:rsidRDefault="00F83A59" w:rsidP="00F83A59">
      <w:pPr>
        <w:pStyle w:val="ab"/>
        <w:spacing w:before="120"/>
        <w:ind w:left="2552" w:right="-285"/>
        <w:contextualSpacing/>
        <w:rPr>
          <w:rFonts w:asciiTheme="majorHAnsi" w:hAnsiTheme="majorHAnsi" w:cs="Calibri"/>
          <w:noProof/>
          <w:lang w:val="el-GR" w:eastAsia="en-GB"/>
        </w:rPr>
      </w:pPr>
    </w:p>
    <w:tbl>
      <w:tblPr>
        <w:tblStyle w:val="a7"/>
        <w:tblpPr w:leftFromText="181" w:rightFromText="181" w:vertAnchor="page" w:horzAnchor="page" w:tblpX="409" w:tblpY="2190"/>
        <w:tblOverlap w:val="never"/>
        <w:tblW w:w="3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4"/>
      </w:tblGrid>
      <w:tr w:rsidR="00277F17" w:rsidRPr="00C74907" w:rsidTr="00277F17">
        <w:trPr>
          <w:trHeight w:val="210"/>
        </w:trPr>
        <w:tc>
          <w:tcPr>
            <w:tcW w:w="3664" w:type="dxa"/>
            <w:tcBorders>
              <w:bottom w:val="single" w:sz="4" w:space="0" w:color="FFFFFF" w:themeColor="background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7F17" w:rsidRPr="00C74907" w:rsidRDefault="00277F17" w:rsidP="00277F17">
            <w:pPr>
              <w:pStyle w:val="10TableB"/>
              <w:rPr>
                <w:rFonts w:cs="Calibri"/>
                <w:color w:val="81AAD5" w:themeColor="accent1" w:themeTint="99"/>
                <w:sz w:val="14"/>
                <w:szCs w:val="18"/>
              </w:rPr>
            </w:pPr>
            <w:r w:rsidRPr="00C74907">
              <w:rPr>
                <w:rFonts w:cs="Calibri"/>
                <w:bCs/>
                <w:color w:val="81AAD5" w:themeColor="accent1" w:themeTint="99"/>
                <w:lang w:val="el-GR"/>
              </w:rPr>
              <w:t xml:space="preserve">Σχηματισμός </w:t>
            </w:r>
            <w:r w:rsidRPr="00C74907">
              <w:rPr>
                <w:rFonts w:cs="Calibri"/>
                <w:bCs/>
                <w:color w:val="81AAD5" w:themeColor="accent1" w:themeTint="99"/>
              </w:rPr>
              <w:t xml:space="preserve">NPLs </w:t>
            </w:r>
            <w:r w:rsidRPr="00C74907">
              <w:rPr>
                <w:rFonts w:cs="Calibri"/>
                <w:bCs/>
                <w:color w:val="81AAD5" w:themeColor="accent1" w:themeTint="99"/>
                <w:lang w:val="el-GR"/>
              </w:rPr>
              <w:t>Ομίλου</w:t>
            </w:r>
            <w:r w:rsidRPr="00C74907">
              <w:rPr>
                <w:rFonts w:cs="Calibri"/>
                <w:bCs/>
                <w:color w:val="81AAD5" w:themeColor="accent1" w:themeTint="99"/>
              </w:rPr>
              <w:t xml:space="preserve"> (</w:t>
            </w:r>
            <w:r w:rsidRPr="00C74907">
              <w:rPr>
                <w:rFonts w:cs="Calibri"/>
                <w:bCs/>
                <w:color w:val="81AAD5" w:themeColor="accent1" w:themeTint="99"/>
                <w:lang w:val="en-GB"/>
              </w:rPr>
              <w:t>%</w:t>
            </w:r>
            <w:r w:rsidRPr="00C74907">
              <w:rPr>
                <w:rFonts w:cs="Calibri"/>
                <w:bCs/>
                <w:color w:val="81AAD5" w:themeColor="accent1" w:themeTint="99"/>
              </w:rPr>
              <w:t>)</w:t>
            </w:r>
          </w:p>
        </w:tc>
      </w:tr>
      <w:tr w:rsidR="00277F17" w:rsidRPr="00C74907" w:rsidTr="00277F17">
        <w:trPr>
          <w:trHeight w:val="2521"/>
        </w:trPr>
        <w:tc>
          <w:tcPr>
            <w:tcW w:w="3664" w:type="dxa"/>
            <w:tcBorders>
              <w:top w:val="single" w:sz="4" w:space="0" w:color="FFFFFF" w:themeColor="background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7F17" w:rsidRPr="00EC7857" w:rsidRDefault="00EC7857" w:rsidP="00277F17">
            <w:pPr>
              <w:pStyle w:val="10TableB"/>
              <w:rPr>
                <w:rFonts w:cs="Calibri"/>
                <w:color w:val="000000"/>
                <w:sz w:val="14"/>
                <w:szCs w:val="18"/>
              </w:rPr>
            </w:pPr>
            <w:r w:rsidRPr="00EC7857">
              <w:rPr>
                <w:rFonts w:cs="Calibri"/>
                <w:noProof/>
                <w:color w:val="000000"/>
                <w:sz w:val="14"/>
                <w:szCs w:val="18"/>
                <w:lang w:eastAsia="en-US"/>
              </w:rPr>
              <w:lastRenderedPageBreak/>
              <w:drawing>
                <wp:inline distT="0" distB="0" distL="0" distR="0">
                  <wp:extent cx="2186609" cy="1836420"/>
                  <wp:effectExtent l="0" t="0" r="0" b="0"/>
                  <wp:docPr id="23" name="Chart 5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  <w:r w:rsidR="00C058B0" w:rsidRPr="00C058B0">
              <w:rPr>
                <w:rFonts w:cs="Calibri"/>
                <w:noProof/>
                <w:color w:val="000000"/>
                <w:sz w:val="14"/>
                <w:szCs w:val="18"/>
                <w:lang w:val="en-GB" w:eastAsia="en-GB"/>
              </w:rPr>
              <w:pict>
                <v:shape id="_x0000_s1028" type="#_x0000_t202" style="position:absolute;margin-left:.2pt;margin-top:113.35pt;width:162.35pt;height:16.2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" filled="f" stroked="f" strokeweight=".5pt">
                  <v:path arrowok="t"/>
                  <v:textbox>
                    <w:txbxContent>
                      <w:p w:rsidR="00AA0D5A" w:rsidRPr="00DA22A5" w:rsidRDefault="00AA0D5A" w:rsidP="00277F17">
                        <w:pPr>
                          <w:rPr>
                            <w:rFonts w:asciiTheme="majorHAnsi" w:hAnsiTheme="majorHAnsi"/>
                            <w:color w:val="666666" w:themeColor="text1" w:themeTint="99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277F17" w:rsidRPr="00C74907" w:rsidTr="00277F17">
        <w:trPr>
          <w:trHeight w:val="66"/>
        </w:trPr>
        <w:tc>
          <w:tcPr>
            <w:tcW w:w="3664" w:type="dxa"/>
            <w:tcBorders>
              <w:bottom w:val="single" w:sz="4" w:space="0" w:color="FFFFFF" w:themeColor="background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7F17" w:rsidRPr="00C74907" w:rsidRDefault="00277F17" w:rsidP="00277F17">
            <w:pPr>
              <w:pStyle w:val="10TableB"/>
              <w:rPr>
                <w:rFonts w:cs="Calibri"/>
                <w:bCs/>
                <w:color w:val="81AAD5" w:themeColor="accent1" w:themeTint="99"/>
                <w:sz w:val="14"/>
                <w:szCs w:val="18"/>
              </w:rPr>
            </w:pPr>
            <w:r w:rsidRPr="00C74907">
              <w:rPr>
                <w:rFonts w:cs="Calibri"/>
                <w:b w:val="0"/>
                <w:bCs/>
                <w:color w:val="81AAD5" w:themeColor="accent1" w:themeTint="99"/>
                <w:lang w:val="el-GR"/>
              </w:rPr>
              <w:t>Κάλυψη Ομίλου από προβλέψει</w:t>
            </w:r>
            <w:r w:rsidR="00670D02">
              <w:rPr>
                <w:rFonts w:cs="Calibri"/>
                <w:b w:val="0"/>
                <w:bCs/>
                <w:color w:val="81AAD5" w:themeColor="accent1" w:themeTint="99"/>
                <w:lang w:val="el-GR"/>
              </w:rPr>
              <w:t>ς</w:t>
            </w:r>
            <w:r w:rsidRPr="00C74907">
              <w:rPr>
                <w:rFonts w:cs="Calibri"/>
                <w:b w:val="0"/>
                <w:bCs/>
                <w:color w:val="81AAD5" w:themeColor="accent1" w:themeTint="99"/>
              </w:rPr>
              <w:t xml:space="preserve"> (%)</w:t>
            </w:r>
          </w:p>
        </w:tc>
      </w:tr>
      <w:tr w:rsidR="00277F17" w:rsidRPr="00C74907" w:rsidTr="00277F17">
        <w:trPr>
          <w:trHeight w:val="2218"/>
        </w:trPr>
        <w:tc>
          <w:tcPr>
            <w:tcW w:w="3664" w:type="dxa"/>
            <w:tcBorders>
              <w:top w:val="single" w:sz="4" w:space="0" w:color="FFFFFF" w:themeColor="background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7F17" w:rsidRPr="00C74907" w:rsidRDefault="00277F17" w:rsidP="00277F17">
            <w:pPr>
              <w:pStyle w:val="10TableB"/>
              <w:rPr>
                <w:rFonts w:cs="Calibri"/>
                <w:sz w:val="14"/>
                <w:szCs w:val="18"/>
              </w:rPr>
            </w:pPr>
            <w:r w:rsidRPr="00C74907">
              <w:rPr>
                <w:rFonts w:cs="Calibri"/>
                <w:noProof/>
                <w:sz w:val="14"/>
                <w:szCs w:val="18"/>
                <w:lang w:eastAsia="en-US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page">
                    <wp:posOffset>17181</wp:posOffset>
                  </wp:positionH>
                  <wp:positionV relativeFrom="page">
                    <wp:posOffset>431</wp:posOffset>
                  </wp:positionV>
                  <wp:extent cx="2216989" cy="1630392"/>
                  <wp:effectExtent l="0" t="0" r="0" b="0"/>
                  <wp:wrapNone/>
                  <wp:docPr id="25" name="Chart 4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anchor>
              </w:drawing>
            </w:r>
          </w:p>
        </w:tc>
      </w:tr>
    </w:tbl>
    <w:p w:rsidR="002E7D8A" w:rsidRPr="002E7D8A" w:rsidRDefault="00C058B0" w:rsidP="00277F17">
      <w:pPr>
        <w:pStyle w:val="a8"/>
        <w:ind w:left="2552" w:right="-285"/>
        <w:rPr>
          <w:rFonts w:cs="Calibri"/>
          <w:color w:val="3A73AE"/>
          <w:sz w:val="16"/>
          <w:szCs w:val="16"/>
          <w:lang w:val="el-GR"/>
        </w:rPr>
      </w:pPr>
      <w:bookmarkStart w:id="0" w:name="_GoBack"/>
      <w:r w:rsidRPr="00C058B0">
        <w:rPr>
          <w:rFonts w:cs="Calibri"/>
          <w:color w:val="3A73AE"/>
          <w:sz w:val="28"/>
          <w:szCs w:val="28"/>
        </w:rPr>
        <w:pict>
          <v:roundrect id="AutoShape 26" o:spid="_x0000_s1029" style="position:absolute;left:0;text-align:left;margin-left:0;margin-top:0;width:217.9pt;height:701.6pt;z-index:-251626496;visibility:visible;mso-position-horizontal:left;mso-position-horizontal-relative:page;mso-position-vertical:bottom;mso-position-vertical-relative:margin;mso-width-relative:margin;mso-height-relative:margin;v-text-anchor:middle" arcsize="18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" fillcolor="#dcdcd7" stroked="f">
            <v:fill opacity="49087f"/>
            <w10:wrap anchorx="page" anchory="margin"/>
          </v:roundrect>
        </w:pict>
      </w:r>
      <w:bookmarkEnd w:id="0"/>
    </w:p>
    <w:p w:rsidR="00F83A59" w:rsidRPr="00C74907" w:rsidRDefault="00F83A59" w:rsidP="00277F17">
      <w:pPr>
        <w:pStyle w:val="a8"/>
        <w:ind w:left="2552" w:right="-285"/>
        <w:rPr>
          <w:rFonts w:cs="Calibri"/>
          <w:color w:val="3A73AE"/>
          <w:sz w:val="28"/>
          <w:szCs w:val="28"/>
          <w:lang w:val="el-GR"/>
        </w:rPr>
      </w:pPr>
      <w:r w:rsidRPr="00C74907">
        <w:rPr>
          <w:rFonts w:cs="Calibri"/>
          <w:color w:val="3A73AE"/>
          <w:sz w:val="28"/>
          <w:szCs w:val="28"/>
          <w:lang w:val="el-GR"/>
        </w:rPr>
        <w:t>Ποιότητα Δανειακού Χαρτοφυλακίου</w:t>
      </w:r>
    </w:p>
    <w:p w:rsidR="00F83A59" w:rsidRPr="000B396F" w:rsidRDefault="00F83A59" w:rsidP="00F83A59">
      <w:pPr>
        <w:pStyle w:val="ab"/>
        <w:spacing w:before="120"/>
        <w:ind w:left="2552" w:right="-285"/>
        <w:contextualSpacing/>
        <w:rPr>
          <w:rFonts w:asciiTheme="majorHAnsi" w:hAnsiTheme="majorHAnsi" w:cstheme="majorHAnsi"/>
          <w:sz w:val="19"/>
          <w:szCs w:val="19"/>
          <w:lang w:val="el-GR"/>
        </w:rPr>
      </w:pPr>
      <w:r w:rsidRPr="000B396F">
        <w:rPr>
          <w:rFonts w:asciiTheme="majorHAnsi" w:hAnsiTheme="majorHAnsi" w:cstheme="majorHAnsi"/>
          <w:sz w:val="19"/>
          <w:szCs w:val="19"/>
          <w:lang w:val="el-GR"/>
        </w:rPr>
        <w:t xml:space="preserve">Ο </w:t>
      </w:r>
      <w:r w:rsidRPr="000B396F">
        <w:rPr>
          <w:rFonts w:asciiTheme="majorHAnsi" w:hAnsiTheme="majorHAnsi" w:cstheme="majorHAnsi"/>
          <w:b/>
          <w:sz w:val="19"/>
          <w:szCs w:val="19"/>
          <w:lang w:val="el-GR"/>
        </w:rPr>
        <w:t>σχηματισμός νέων δανείων σε καθυστέρηση,</w:t>
      </w:r>
      <w:r w:rsidRPr="000B396F">
        <w:rPr>
          <w:rFonts w:asciiTheme="majorHAnsi" w:hAnsiTheme="majorHAnsi" w:cstheme="majorHAnsi"/>
          <w:sz w:val="19"/>
          <w:szCs w:val="19"/>
          <w:lang w:val="el-GR"/>
        </w:rPr>
        <w:t xml:space="preserve"> ο οποίος είχε παρουσιάσει </w:t>
      </w:r>
      <w:r w:rsidR="00043F76" w:rsidRPr="000B396F">
        <w:rPr>
          <w:rFonts w:asciiTheme="majorHAnsi" w:hAnsiTheme="majorHAnsi" w:cstheme="majorHAnsi"/>
          <w:sz w:val="19"/>
          <w:szCs w:val="19"/>
          <w:lang w:val="el-GR"/>
        </w:rPr>
        <w:t xml:space="preserve">συγκρατημένο </w:t>
      </w:r>
      <w:r w:rsidRPr="000B396F">
        <w:rPr>
          <w:rFonts w:asciiTheme="majorHAnsi" w:hAnsiTheme="majorHAnsi" w:cstheme="majorHAnsi"/>
          <w:sz w:val="19"/>
          <w:szCs w:val="19"/>
          <w:lang w:val="el-GR"/>
        </w:rPr>
        <w:t xml:space="preserve">άνοδο </w:t>
      </w:r>
      <w:r w:rsidR="00043F76" w:rsidRPr="000B396F">
        <w:rPr>
          <w:rFonts w:asciiTheme="majorHAnsi" w:hAnsiTheme="majorHAnsi" w:cstheme="majorHAnsi"/>
          <w:sz w:val="19"/>
          <w:szCs w:val="19"/>
          <w:lang w:val="el-GR"/>
        </w:rPr>
        <w:t>το</w:t>
      </w:r>
      <w:r w:rsidRPr="000B396F">
        <w:rPr>
          <w:rFonts w:asciiTheme="majorHAnsi" w:hAnsiTheme="majorHAnsi" w:cstheme="majorHAnsi"/>
          <w:sz w:val="19"/>
          <w:szCs w:val="19"/>
          <w:lang w:val="el-GR"/>
        </w:rPr>
        <w:t xml:space="preserve"> 2015, λόγω της αβεβαιότητας</w:t>
      </w:r>
      <w:r w:rsidR="00043F76" w:rsidRPr="000B396F">
        <w:rPr>
          <w:rFonts w:asciiTheme="majorHAnsi" w:hAnsiTheme="majorHAnsi" w:cstheme="majorHAnsi"/>
          <w:sz w:val="19"/>
          <w:szCs w:val="19"/>
          <w:lang w:val="el-GR"/>
        </w:rPr>
        <w:t xml:space="preserve"> στην αγορά</w:t>
      </w:r>
      <w:r w:rsidRPr="000B396F">
        <w:rPr>
          <w:rFonts w:asciiTheme="majorHAnsi" w:hAnsiTheme="majorHAnsi" w:cstheme="majorHAnsi"/>
          <w:sz w:val="19"/>
          <w:szCs w:val="19"/>
          <w:lang w:val="el-GR"/>
        </w:rPr>
        <w:t xml:space="preserve"> και της επιβολής ελέγχων στην κίνηση κεφαλαίων στην Ελλάδα, επιβραδύνθηκε σημαντικά </w:t>
      </w:r>
      <w:r w:rsidR="00043F76" w:rsidRPr="000B396F">
        <w:rPr>
          <w:rFonts w:asciiTheme="majorHAnsi" w:hAnsiTheme="majorHAnsi" w:cstheme="majorHAnsi"/>
          <w:sz w:val="19"/>
          <w:szCs w:val="19"/>
          <w:lang w:val="el-GR"/>
        </w:rPr>
        <w:t xml:space="preserve">και διαμορφώθηκε σε αρνητικό επίπεδο κατά </w:t>
      </w:r>
      <w:r w:rsidRPr="000B396F">
        <w:rPr>
          <w:rFonts w:asciiTheme="majorHAnsi" w:hAnsiTheme="majorHAnsi" w:cstheme="majorHAnsi"/>
          <w:sz w:val="19"/>
          <w:szCs w:val="19"/>
          <w:lang w:val="el-GR"/>
        </w:rPr>
        <w:t>το 1</w:t>
      </w:r>
      <w:r w:rsidR="00043F76" w:rsidRPr="000B396F">
        <w:rPr>
          <w:rFonts w:asciiTheme="majorHAnsi" w:hAnsiTheme="majorHAnsi" w:cstheme="majorHAnsi"/>
          <w:sz w:val="19"/>
          <w:szCs w:val="19"/>
          <w:lang w:val="el-GR"/>
        </w:rPr>
        <w:t>ο</w:t>
      </w:r>
      <w:r w:rsidRPr="000B396F">
        <w:rPr>
          <w:rFonts w:asciiTheme="majorHAnsi" w:hAnsiTheme="majorHAnsi" w:cstheme="majorHAnsi"/>
          <w:sz w:val="19"/>
          <w:szCs w:val="19"/>
          <w:lang w:val="el-GR"/>
        </w:rPr>
        <w:t xml:space="preserve"> 3μηνο 2016</w:t>
      </w:r>
      <w:r w:rsidR="00F74B5F" w:rsidRPr="000B396F">
        <w:rPr>
          <w:rFonts w:asciiTheme="majorHAnsi" w:hAnsiTheme="majorHAnsi" w:cstheme="majorHAnsi"/>
          <w:sz w:val="19"/>
          <w:szCs w:val="19"/>
          <w:lang w:val="el-GR"/>
        </w:rPr>
        <w:t>, για πρώτη φορά από την έναρξη της κρίσης το 2008</w:t>
      </w:r>
      <w:r w:rsidRPr="000B396F">
        <w:rPr>
          <w:rFonts w:asciiTheme="majorHAnsi" w:hAnsiTheme="majorHAnsi" w:cstheme="majorHAnsi"/>
          <w:sz w:val="19"/>
          <w:szCs w:val="19"/>
          <w:lang w:val="el-GR"/>
        </w:rPr>
        <w:t>.  Αναλυτικότερα, τα νέα δάνεια σε καθυστέρηση ως ποσοστό των συνολικών δανείων διαμορφώθηκαν κατά το 1</w:t>
      </w:r>
      <w:r w:rsidRPr="000B396F">
        <w:rPr>
          <w:rFonts w:asciiTheme="majorHAnsi" w:hAnsiTheme="majorHAnsi" w:cstheme="majorHAnsi"/>
          <w:sz w:val="19"/>
          <w:szCs w:val="19"/>
          <w:vertAlign w:val="superscript"/>
          <w:lang w:val="el-GR"/>
        </w:rPr>
        <w:t>ο</w:t>
      </w:r>
      <w:r w:rsidRPr="000B396F">
        <w:rPr>
          <w:rFonts w:asciiTheme="majorHAnsi" w:hAnsiTheme="majorHAnsi" w:cstheme="majorHAnsi"/>
          <w:sz w:val="19"/>
          <w:szCs w:val="19"/>
          <w:lang w:val="el-GR"/>
        </w:rPr>
        <w:t xml:space="preserve"> 3μηνο στο </w:t>
      </w:r>
      <w:r w:rsidR="00043F76" w:rsidRPr="000B396F">
        <w:rPr>
          <w:rFonts w:asciiTheme="majorHAnsi" w:hAnsiTheme="majorHAnsi" w:cstheme="majorHAnsi"/>
          <w:sz w:val="19"/>
          <w:szCs w:val="19"/>
          <w:lang w:val="el-GR"/>
        </w:rPr>
        <w:t>-0,</w:t>
      </w:r>
      <w:r w:rsidR="00DD1FE0" w:rsidRPr="000B396F">
        <w:rPr>
          <w:rFonts w:asciiTheme="majorHAnsi" w:hAnsiTheme="majorHAnsi" w:cstheme="majorHAnsi"/>
          <w:sz w:val="19"/>
          <w:szCs w:val="19"/>
          <w:lang w:val="el-GR"/>
        </w:rPr>
        <w:t>3</w:t>
      </w:r>
      <w:r w:rsidR="00DD1FE0">
        <w:rPr>
          <w:rFonts w:asciiTheme="majorHAnsi" w:hAnsiTheme="majorHAnsi" w:cstheme="majorHAnsi"/>
          <w:sz w:val="19"/>
          <w:szCs w:val="19"/>
          <w:lang w:val="el-GR"/>
        </w:rPr>
        <w:t>7</w:t>
      </w:r>
      <w:r w:rsidR="00043F76" w:rsidRPr="000B396F">
        <w:rPr>
          <w:rFonts w:asciiTheme="majorHAnsi" w:hAnsiTheme="majorHAnsi" w:cstheme="majorHAnsi"/>
          <w:sz w:val="19"/>
          <w:szCs w:val="19"/>
          <w:lang w:val="el-GR"/>
        </w:rPr>
        <w:t>%</w:t>
      </w:r>
      <w:r w:rsidRPr="000B396F">
        <w:rPr>
          <w:rFonts w:asciiTheme="majorHAnsi" w:hAnsiTheme="majorHAnsi" w:cstheme="majorHAnsi"/>
          <w:sz w:val="19"/>
          <w:szCs w:val="19"/>
          <w:lang w:val="el-GR"/>
        </w:rPr>
        <w:t xml:space="preserve"> επί των δανείων (</w:t>
      </w:r>
      <w:r w:rsidR="00043F76" w:rsidRPr="000B396F">
        <w:rPr>
          <w:rFonts w:asciiTheme="majorHAnsi" w:hAnsiTheme="majorHAnsi" w:cstheme="majorHAnsi"/>
          <w:sz w:val="19"/>
          <w:szCs w:val="19"/>
          <w:lang w:val="el-GR"/>
        </w:rPr>
        <w:t>-€245</w:t>
      </w:r>
      <w:r w:rsidRPr="000B396F">
        <w:rPr>
          <w:rFonts w:asciiTheme="majorHAnsi" w:hAnsiTheme="majorHAnsi" w:cstheme="majorHAnsi"/>
          <w:sz w:val="19"/>
          <w:szCs w:val="19"/>
          <w:lang w:val="el-GR"/>
        </w:rPr>
        <w:t xml:space="preserve"> εκατ.) από +0,12% το 4</w:t>
      </w:r>
      <w:r w:rsidRPr="000B396F">
        <w:rPr>
          <w:rFonts w:asciiTheme="majorHAnsi" w:hAnsiTheme="majorHAnsi" w:cstheme="majorHAnsi"/>
          <w:sz w:val="19"/>
          <w:szCs w:val="19"/>
          <w:vertAlign w:val="superscript"/>
          <w:lang w:val="el-GR"/>
        </w:rPr>
        <w:t>ο</w:t>
      </w:r>
      <w:r w:rsidRPr="000B396F">
        <w:rPr>
          <w:rFonts w:asciiTheme="majorHAnsi" w:hAnsiTheme="majorHAnsi" w:cstheme="majorHAnsi"/>
          <w:sz w:val="19"/>
          <w:szCs w:val="19"/>
          <w:lang w:val="el-GR"/>
        </w:rPr>
        <w:t xml:space="preserve"> 3μηνο </w:t>
      </w:r>
      <w:r w:rsidR="00043F76" w:rsidRPr="000B396F">
        <w:rPr>
          <w:rFonts w:asciiTheme="majorHAnsi" w:hAnsiTheme="majorHAnsi" w:cstheme="majorHAnsi"/>
          <w:sz w:val="19"/>
          <w:szCs w:val="19"/>
          <w:lang w:val="el-GR"/>
        </w:rPr>
        <w:t xml:space="preserve">2015 </w:t>
      </w:r>
      <w:r w:rsidRPr="000B396F">
        <w:rPr>
          <w:rFonts w:asciiTheme="majorHAnsi" w:hAnsiTheme="majorHAnsi" w:cstheme="majorHAnsi"/>
          <w:sz w:val="19"/>
          <w:szCs w:val="19"/>
          <w:lang w:val="el-GR"/>
        </w:rPr>
        <w:t>(</w:t>
      </w:r>
      <w:r w:rsidR="00043F76" w:rsidRPr="000B396F">
        <w:rPr>
          <w:rFonts w:asciiTheme="majorHAnsi" w:hAnsiTheme="majorHAnsi" w:cstheme="majorHAnsi"/>
          <w:sz w:val="19"/>
          <w:szCs w:val="19"/>
          <w:lang w:val="el-GR"/>
        </w:rPr>
        <w:t>+</w:t>
      </w:r>
      <w:proofErr w:type="spellStart"/>
      <w:r w:rsidRPr="000B396F">
        <w:rPr>
          <w:rFonts w:asciiTheme="majorHAnsi" w:hAnsiTheme="majorHAnsi" w:cstheme="majorHAnsi"/>
          <w:sz w:val="19"/>
          <w:szCs w:val="19"/>
          <w:lang w:val="el-GR"/>
        </w:rPr>
        <w:t>€80</w:t>
      </w:r>
      <w:proofErr w:type="spellEnd"/>
      <w:r w:rsidRPr="000B396F">
        <w:rPr>
          <w:rFonts w:asciiTheme="majorHAnsi" w:hAnsiTheme="majorHAnsi" w:cstheme="majorHAnsi"/>
          <w:sz w:val="19"/>
          <w:szCs w:val="19"/>
          <w:lang w:val="el-GR"/>
        </w:rPr>
        <w:t xml:space="preserve"> </w:t>
      </w:r>
      <w:proofErr w:type="spellStart"/>
      <w:r w:rsidRPr="000B396F">
        <w:rPr>
          <w:rFonts w:asciiTheme="majorHAnsi" w:hAnsiTheme="majorHAnsi" w:cstheme="majorHAnsi"/>
          <w:sz w:val="19"/>
          <w:szCs w:val="19"/>
          <w:lang w:val="el-GR"/>
        </w:rPr>
        <w:t>εκατ</w:t>
      </w:r>
      <w:proofErr w:type="spellEnd"/>
      <w:r w:rsidRPr="000B396F">
        <w:rPr>
          <w:rFonts w:asciiTheme="majorHAnsi" w:hAnsiTheme="majorHAnsi" w:cstheme="majorHAnsi"/>
          <w:sz w:val="19"/>
          <w:szCs w:val="19"/>
          <w:lang w:val="el-GR"/>
        </w:rPr>
        <w:t xml:space="preserve">), με το σχηματισμό νέων δανείων σε καθυστέρηση στην Ελλάδα να διαμορφώνεται στα </w:t>
      </w:r>
      <w:r w:rsidR="00043F76" w:rsidRPr="000B396F">
        <w:rPr>
          <w:rFonts w:asciiTheme="majorHAnsi" w:hAnsiTheme="majorHAnsi" w:cstheme="majorHAnsi"/>
          <w:sz w:val="19"/>
          <w:szCs w:val="19"/>
          <w:lang w:val="el-GR"/>
        </w:rPr>
        <w:t>-</w:t>
      </w:r>
      <w:r w:rsidRPr="000B396F">
        <w:rPr>
          <w:rFonts w:asciiTheme="majorHAnsi" w:hAnsiTheme="majorHAnsi" w:cstheme="majorHAnsi"/>
          <w:sz w:val="19"/>
          <w:szCs w:val="19"/>
          <w:lang w:val="el-GR"/>
        </w:rPr>
        <w:t>€</w:t>
      </w:r>
      <w:r w:rsidR="00DD1FE0" w:rsidRPr="000B396F">
        <w:rPr>
          <w:rFonts w:asciiTheme="majorHAnsi" w:hAnsiTheme="majorHAnsi" w:cstheme="majorHAnsi"/>
          <w:sz w:val="19"/>
          <w:szCs w:val="19"/>
          <w:lang w:val="el-GR"/>
        </w:rPr>
        <w:t>23</w:t>
      </w:r>
      <w:r w:rsidR="00DD1FE0">
        <w:rPr>
          <w:rFonts w:asciiTheme="majorHAnsi" w:hAnsiTheme="majorHAnsi" w:cstheme="majorHAnsi"/>
          <w:sz w:val="19"/>
          <w:szCs w:val="19"/>
          <w:lang w:val="el-GR"/>
        </w:rPr>
        <w:t>2</w:t>
      </w:r>
      <w:r w:rsidR="00DD1FE0" w:rsidRPr="000B396F">
        <w:rPr>
          <w:rFonts w:asciiTheme="majorHAnsi" w:hAnsiTheme="majorHAnsi" w:cstheme="majorHAnsi"/>
          <w:sz w:val="19"/>
          <w:szCs w:val="19"/>
          <w:lang w:val="el-GR"/>
        </w:rPr>
        <w:t xml:space="preserve"> </w:t>
      </w:r>
      <w:r w:rsidRPr="000B396F">
        <w:rPr>
          <w:rFonts w:asciiTheme="majorHAnsi" w:hAnsiTheme="majorHAnsi" w:cstheme="majorHAnsi"/>
          <w:sz w:val="19"/>
          <w:szCs w:val="19"/>
          <w:lang w:val="el-GR"/>
        </w:rPr>
        <w:t>εκατ. στο 1</w:t>
      </w:r>
      <w:r w:rsidRPr="000B396F">
        <w:rPr>
          <w:rFonts w:asciiTheme="majorHAnsi" w:hAnsiTheme="majorHAnsi" w:cstheme="majorHAnsi"/>
          <w:sz w:val="19"/>
          <w:szCs w:val="19"/>
          <w:vertAlign w:val="superscript"/>
          <w:lang w:val="el-GR"/>
        </w:rPr>
        <w:t>ο</w:t>
      </w:r>
      <w:r w:rsidRPr="000B396F">
        <w:rPr>
          <w:rFonts w:asciiTheme="majorHAnsi" w:hAnsiTheme="majorHAnsi" w:cstheme="majorHAnsi"/>
          <w:sz w:val="19"/>
          <w:szCs w:val="19"/>
          <w:lang w:val="el-GR"/>
        </w:rPr>
        <w:t xml:space="preserve"> 3μηνο 2016 από €87 εκατ. στο 4</w:t>
      </w:r>
      <w:r w:rsidRPr="000B396F">
        <w:rPr>
          <w:rFonts w:asciiTheme="majorHAnsi" w:hAnsiTheme="majorHAnsi" w:cstheme="majorHAnsi"/>
          <w:sz w:val="19"/>
          <w:szCs w:val="19"/>
          <w:vertAlign w:val="superscript"/>
          <w:lang w:val="el-GR"/>
        </w:rPr>
        <w:t>ο</w:t>
      </w:r>
      <w:r w:rsidRPr="000B396F">
        <w:rPr>
          <w:rFonts w:asciiTheme="majorHAnsi" w:hAnsiTheme="majorHAnsi" w:cstheme="majorHAnsi"/>
          <w:sz w:val="19"/>
          <w:szCs w:val="19"/>
          <w:lang w:val="el-GR"/>
        </w:rPr>
        <w:t xml:space="preserve"> 3μηνο ’15.</w:t>
      </w:r>
    </w:p>
    <w:p w:rsidR="00F83A59" w:rsidRPr="000B396F" w:rsidRDefault="00F83A59" w:rsidP="00F83A59">
      <w:pPr>
        <w:pStyle w:val="ab"/>
        <w:spacing w:before="120"/>
        <w:ind w:left="2552" w:right="-285"/>
        <w:contextualSpacing/>
        <w:rPr>
          <w:rFonts w:asciiTheme="majorHAnsi" w:hAnsiTheme="majorHAnsi" w:cstheme="majorHAnsi"/>
          <w:sz w:val="19"/>
          <w:szCs w:val="19"/>
          <w:lang w:val="el-GR"/>
        </w:rPr>
      </w:pPr>
    </w:p>
    <w:p w:rsidR="00F83A59" w:rsidRPr="000B396F" w:rsidRDefault="00F83A59" w:rsidP="00F83A59">
      <w:pPr>
        <w:pStyle w:val="ab"/>
        <w:spacing w:before="120"/>
        <w:ind w:left="2552" w:right="-285"/>
        <w:contextualSpacing/>
        <w:rPr>
          <w:rFonts w:asciiTheme="majorHAnsi" w:hAnsiTheme="majorHAnsi" w:cstheme="majorHAnsi"/>
          <w:sz w:val="19"/>
          <w:szCs w:val="19"/>
          <w:lang w:val="el-GR"/>
        </w:rPr>
      </w:pPr>
      <w:r w:rsidRPr="000B396F">
        <w:rPr>
          <w:rFonts w:asciiTheme="majorHAnsi" w:hAnsiTheme="majorHAnsi" w:cstheme="majorHAnsi"/>
          <w:sz w:val="19"/>
          <w:szCs w:val="19"/>
          <w:lang w:val="el-GR"/>
        </w:rPr>
        <w:t xml:space="preserve">Ο </w:t>
      </w:r>
      <w:r w:rsidRPr="000B396F">
        <w:rPr>
          <w:rFonts w:asciiTheme="majorHAnsi" w:hAnsiTheme="majorHAnsi" w:cstheme="majorHAnsi"/>
          <w:b/>
          <w:sz w:val="19"/>
          <w:szCs w:val="19"/>
          <w:lang w:val="el-GR"/>
        </w:rPr>
        <w:t>δείκτης δανείων σε καθυστέρηση</w:t>
      </w:r>
      <w:r w:rsidRPr="000B396F">
        <w:rPr>
          <w:rFonts w:asciiTheme="majorHAnsi" w:hAnsiTheme="majorHAnsi" w:cstheme="majorHAnsi"/>
          <w:sz w:val="19"/>
          <w:szCs w:val="19"/>
          <w:lang w:val="el-GR"/>
        </w:rPr>
        <w:t xml:space="preserve"> άνω των 90 ημερών προς το σύνολο των δανείων του Ομίλου, </w:t>
      </w:r>
      <w:r w:rsidR="00CA17C1" w:rsidRPr="000B396F">
        <w:rPr>
          <w:rFonts w:asciiTheme="majorHAnsi" w:hAnsiTheme="majorHAnsi" w:cstheme="majorHAnsi"/>
          <w:sz w:val="19"/>
          <w:szCs w:val="19"/>
          <w:lang w:val="el-GR"/>
        </w:rPr>
        <w:t>διαμορφώθηκε</w:t>
      </w:r>
      <w:r w:rsidRPr="000B396F">
        <w:rPr>
          <w:rFonts w:asciiTheme="majorHAnsi" w:hAnsiTheme="majorHAnsi" w:cstheme="majorHAnsi"/>
          <w:sz w:val="19"/>
          <w:szCs w:val="19"/>
          <w:lang w:val="el-GR"/>
        </w:rPr>
        <w:t xml:space="preserve"> στο 39,</w:t>
      </w:r>
      <w:r w:rsidR="00CA17C1" w:rsidRPr="000B396F">
        <w:rPr>
          <w:rFonts w:asciiTheme="majorHAnsi" w:hAnsiTheme="majorHAnsi" w:cstheme="majorHAnsi"/>
          <w:sz w:val="19"/>
          <w:szCs w:val="19"/>
          <w:lang w:val="el-GR"/>
        </w:rPr>
        <w:t>8</w:t>
      </w:r>
      <w:r w:rsidRPr="000B396F">
        <w:rPr>
          <w:rFonts w:asciiTheme="majorHAnsi" w:hAnsiTheme="majorHAnsi" w:cstheme="majorHAnsi"/>
          <w:sz w:val="19"/>
          <w:szCs w:val="19"/>
          <w:lang w:val="el-GR"/>
        </w:rPr>
        <w:t>% στο τέλος Μαρτίου 2016.</w:t>
      </w:r>
    </w:p>
    <w:p w:rsidR="00CA17C1" w:rsidRPr="000B396F" w:rsidRDefault="00CA17C1" w:rsidP="00F83A59">
      <w:pPr>
        <w:pStyle w:val="ab"/>
        <w:spacing w:before="120"/>
        <w:ind w:left="2552" w:right="-285"/>
        <w:contextualSpacing/>
        <w:rPr>
          <w:rFonts w:asciiTheme="majorHAnsi" w:hAnsiTheme="majorHAnsi" w:cstheme="majorHAnsi"/>
          <w:sz w:val="19"/>
          <w:szCs w:val="19"/>
          <w:lang w:val="el-GR"/>
        </w:rPr>
      </w:pPr>
    </w:p>
    <w:p w:rsidR="00F83A59" w:rsidRPr="000B396F" w:rsidRDefault="00F83A59" w:rsidP="00F83A59">
      <w:pPr>
        <w:pStyle w:val="ab"/>
        <w:spacing w:before="120"/>
        <w:ind w:left="2552" w:right="-285"/>
        <w:contextualSpacing/>
        <w:rPr>
          <w:rFonts w:asciiTheme="majorHAnsi" w:hAnsiTheme="majorHAnsi" w:cs="Calibri"/>
          <w:sz w:val="19"/>
          <w:szCs w:val="19"/>
          <w:lang w:val="el-GR"/>
        </w:rPr>
      </w:pPr>
      <w:r w:rsidRPr="000B396F">
        <w:rPr>
          <w:rFonts w:asciiTheme="majorHAnsi" w:hAnsiTheme="majorHAnsi" w:cstheme="majorHAnsi"/>
          <w:sz w:val="19"/>
          <w:szCs w:val="19"/>
          <w:lang w:val="el-GR"/>
        </w:rPr>
        <w:t xml:space="preserve">Η </w:t>
      </w:r>
      <w:r w:rsidRPr="000B396F">
        <w:rPr>
          <w:rFonts w:asciiTheme="majorHAnsi" w:hAnsiTheme="majorHAnsi" w:cstheme="majorHAnsi"/>
          <w:b/>
          <w:sz w:val="19"/>
          <w:szCs w:val="19"/>
          <w:lang w:val="el-GR"/>
        </w:rPr>
        <w:t>κάλυψη των δανείων σε καθυστέρηση</w:t>
      </w:r>
      <w:r w:rsidRPr="000B396F">
        <w:rPr>
          <w:rFonts w:asciiTheme="majorHAnsi" w:hAnsiTheme="majorHAnsi" w:cstheme="majorHAnsi"/>
          <w:sz w:val="19"/>
          <w:szCs w:val="19"/>
          <w:lang w:val="el-GR"/>
        </w:rPr>
        <w:t xml:space="preserve"> άνω των 90 ημερών ενισχύθηκε περαιτέρω στο επίπεδο του </w:t>
      </w:r>
      <w:r w:rsidR="00CA17C1" w:rsidRPr="000B396F">
        <w:rPr>
          <w:rFonts w:asciiTheme="majorHAnsi" w:hAnsiTheme="majorHAnsi" w:cstheme="majorHAnsi"/>
          <w:sz w:val="19"/>
          <w:szCs w:val="19"/>
          <w:lang w:val="el-GR"/>
        </w:rPr>
        <w:t>66%.</w:t>
      </w:r>
      <w:r w:rsidRPr="000B396F">
        <w:rPr>
          <w:rFonts w:asciiTheme="majorHAnsi" w:hAnsiTheme="majorHAnsi" w:cstheme="majorHAnsi"/>
          <w:sz w:val="19"/>
          <w:szCs w:val="19"/>
          <w:lang w:val="el-GR"/>
        </w:rPr>
        <w:t xml:space="preserve"> Εάν προστεθούν τα ενσώματα καλύμματα και οι εξασφαλίσεις η κάλυψη διαμορφώνεται σε </w:t>
      </w:r>
      <w:r w:rsidR="00F74B5F" w:rsidRPr="000B396F">
        <w:rPr>
          <w:rFonts w:asciiTheme="majorHAnsi" w:hAnsiTheme="majorHAnsi" w:cstheme="majorHAnsi"/>
          <w:sz w:val="19"/>
          <w:szCs w:val="19"/>
          <w:lang w:val="el-GR"/>
        </w:rPr>
        <w:t>133</w:t>
      </w:r>
      <w:r w:rsidR="00F74B5F" w:rsidRPr="000B396F">
        <w:rPr>
          <w:rFonts w:asciiTheme="majorHAnsi" w:hAnsiTheme="majorHAnsi" w:cstheme="majorHAnsi"/>
          <w:b/>
          <w:sz w:val="19"/>
          <w:szCs w:val="19"/>
          <w:lang w:val="el-GR"/>
        </w:rPr>
        <w:t>%</w:t>
      </w:r>
      <w:r w:rsidR="00F74B5F" w:rsidRPr="000B396F">
        <w:rPr>
          <w:rFonts w:asciiTheme="majorHAnsi" w:hAnsiTheme="majorHAnsi" w:cstheme="majorHAnsi"/>
          <w:sz w:val="19"/>
          <w:szCs w:val="19"/>
          <w:lang w:val="el-GR"/>
        </w:rPr>
        <w:t xml:space="preserve">. </w:t>
      </w:r>
      <w:r w:rsidRPr="000B396F">
        <w:rPr>
          <w:rFonts w:asciiTheme="majorHAnsi" w:hAnsiTheme="majorHAnsi" w:cstheme="majorHAnsi"/>
          <w:sz w:val="19"/>
          <w:szCs w:val="19"/>
          <w:lang w:val="el-GR"/>
        </w:rPr>
        <w:t xml:space="preserve">Αντίστοιχα, ο </w:t>
      </w:r>
      <w:r w:rsidRPr="000B396F">
        <w:rPr>
          <w:rFonts w:asciiTheme="majorHAnsi" w:hAnsiTheme="majorHAnsi" w:cstheme="majorHAnsi"/>
          <w:b/>
          <w:sz w:val="19"/>
          <w:szCs w:val="19"/>
          <w:lang w:val="el-GR"/>
        </w:rPr>
        <w:t>δείκτης σωρευμένων προβλέψεων προς το σύνολο δανείων</w:t>
      </w:r>
      <w:r w:rsidRPr="000B396F">
        <w:rPr>
          <w:rFonts w:asciiTheme="majorHAnsi" w:hAnsiTheme="majorHAnsi" w:cstheme="majorHAnsi"/>
          <w:sz w:val="19"/>
          <w:szCs w:val="19"/>
          <w:lang w:val="el-GR"/>
        </w:rPr>
        <w:t xml:space="preserve"> στο τέλος Μαρτίου 2016 φτάνει στο ιδιαίτερα υψηλό επίπεδο του </w:t>
      </w:r>
      <w:r w:rsidR="00CA17C1" w:rsidRPr="000B396F">
        <w:rPr>
          <w:rFonts w:asciiTheme="majorHAnsi" w:hAnsiTheme="majorHAnsi" w:cstheme="majorHAnsi"/>
          <w:sz w:val="19"/>
          <w:szCs w:val="19"/>
          <w:lang w:val="el-GR"/>
        </w:rPr>
        <w:t>26</w:t>
      </w:r>
      <w:r w:rsidRPr="000B396F">
        <w:rPr>
          <w:rFonts w:asciiTheme="majorHAnsi" w:hAnsiTheme="majorHAnsi" w:cstheme="majorHAnsi"/>
          <w:sz w:val="19"/>
          <w:szCs w:val="19"/>
          <w:lang w:val="el-GR"/>
        </w:rPr>
        <w:t>% (</w:t>
      </w:r>
      <w:r w:rsidR="00F165F0" w:rsidRPr="00B8429B">
        <w:rPr>
          <w:rFonts w:asciiTheme="majorHAnsi" w:hAnsiTheme="majorHAnsi" w:cstheme="majorHAnsi"/>
          <w:b/>
          <w:sz w:val="19"/>
          <w:szCs w:val="19"/>
          <w:lang w:val="el-GR"/>
        </w:rPr>
        <w:t>30</w:t>
      </w:r>
      <w:r w:rsidRPr="000B396F">
        <w:rPr>
          <w:rFonts w:asciiTheme="majorHAnsi" w:hAnsiTheme="majorHAnsi" w:cstheme="majorHAnsi"/>
          <w:sz w:val="19"/>
          <w:szCs w:val="19"/>
          <w:lang w:val="el-GR"/>
        </w:rPr>
        <w:t xml:space="preserve">% στα επιχειρηματικά, </w:t>
      </w:r>
      <w:r w:rsidR="00F165F0" w:rsidRPr="00B8429B">
        <w:rPr>
          <w:rFonts w:asciiTheme="majorHAnsi" w:hAnsiTheme="majorHAnsi" w:cstheme="majorHAnsi"/>
          <w:b/>
          <w:sz w:val="19"/>
          <w:szCs w:val="19"/>
          <w:lang w:val="el-GR"/>
        </w:rPr>
        <w:t>11</w:t>
      </w:r>
      <w:r w:rsidRPr="000B396F">
        <w:rPr>
          <w:rFonts w:asciiTheme="majorHAnsi" w:hAnsiTheme="majorHAnsi" w:cstheme="majorHAnsi"/>
          <w:sz w:val="19"/>
          <w:szCs w:val="19"/>
          <w:lang w:val="el-GR"/>
        </w:rPr>
        <w:t xml:space="preserve">% στα στεγαστικά, </w:t>
      </w:r>
      <w:r w:rsidR="00F165F0" w:rsidRPr="00B8429B">
        <w:rPr>
          <w:rFonts w:asciiTheme="majorHAnsi" w:hAnsiTheme="majorHAnsi" w:cstheme="majorHAnsi"/>
          <w:b/>
          <w:sz w:val="19"/>
          <w:szCs w:val="19"/>
          <w:lang w:val="el-GR"/>
        </w:rPr>
        <w:t>39</w:t>
      </w:r>
      <w:r w:rsidRPr="000B396F">
        <w:rPr>
          <w:rFonts w:asciiTheme="majorHAnsi" w:hAnsiTheme="majorHAnsi" w:cstheme="majorHAnsi"/>
          <w:sz w:val="19"/>
          <w:szCs w:val="19"/>
          <w:lang w:val="el-GR"/>
        </w:rPr>
        <w:t>% στα καταναλωτικά-κάρτες).</w:t>
      </w:r>
    </w:p>
    <w:p w:rsidR="00F83A59" w:rsidRPr="00C74907" w:rsidRDefault="00277F17" w:rsidP="00F83A59">
      <w:pPr>
        <w:pStyle w:val="a8"/>
        <w:ind w:left="2552" w:right="-285"/>
        <w:rPr>
          <w:rFonts w:cs="Calibri"/>
          <w:color w:val="3A73AE"/>
          <w:sz w:val="28"/>
          <w:szCs w:val="28"/>
          <w:lang w:val="el-GR"/>
        </w:rPr>
      </w:pPr>
      <w:r w:rsidRPr="00C74907">
        <w:rPr>
          <w:rFonts w:cs="Calibri"/>
          <w:color w:val="3A73AE"/>
          <w:sz w:val="28"/>
          <w:szCs w:val="28"/>
          <w:lang w:val="el-GR"/>
        </w:rPr>
        <w:t>Επάρκεια Κεφαλαίων</w:t>
      </w:r>
    </w:p>
    <w:p w:rsidR="00277F17" w:rsidRPr="00864618" w:rsidRDefault="00F83A59" w:rsidP="00CE5D05">
      <w:pPr>
        <w:pStyle w:val="05PLAINTEXT"/>
        <w:spacing w:before="100"/>
        <w:ind w:left="2552" w:right="-285"/>
        <w:rPr>
          <w:color w:val="000000" w:themeColor="text1"/>
          <w:lang w:val="el-GR"/>
        </w:rPr>
      </w:pPr>
      <w:r w:rsidRPr="00864618">
        <w:rPr>
          <w:color w:val="000000" w:themeColor="text1"/>
          <w:lang w:val="el-GR"/>
        </w:rPr>
        <w:t xml:space="preserve">Η </w:t>
      </w:r>
      <w:r w:rsidRPr="00864618">
        <w:rPr>
          <w:b/>
          <w:color w:val="000000" w:themeColor="text1"/>
          <w:lang w:val="el-GR"/>
        </w:rPr>
        <w:t>συνολική καθαρή θέση</w:t>
      </w:r>
      <w:r w:rsidRPr="00864618">
        <w:rPr>
          <w:color w:val="000000" w:themeColor="text1"/>
          <w:lang w:val="el-GR"/>
        </w:rPr>
        <w:t xml:space="preserve"> του Ομίλου στις 31.03.2016 εμφανίζεται ιδιαίτερα ενισχυμένη έναντι του Μαρτίου 2015, καθώς ενσωματώνει την άντληση κεφαλαίων €4,6 δι</w:t>
      </w:r>
      <w:r w:rsidR="00AE04BC" w:rsidRPr="00864618">
        <w:rPr>
          <w:color w:val="000000" w:themeColor="text1"/>
          <w:lang w:val="el-GR"/>
        </w:rPr>
        <w:t>σ.</w:t>
      </w:r>
      <w:r w:rsidRPr="00864618">
        <w:rPr>
          <w:color w:val="000000" w:themeColor="text1"/>
          <w:lang w:val="el-GR"/>
        </w:rPr>
        <w:t xml:space="preserve"> που υλοποιήθηκε το Δεκέμβριο 2015 και ανέρχεται σε €9,9 δισ., διαμορφώνοντας τον </w:t>
      </w:r>
      <w:r w:rsidRPr="00864618">
        <w:rPr>
          <w:b/>
          <w:color w:val="000000" w:themeColor="text1"/>
          <w:lang w:val="el-GR"/>
        </w:rPr>
        <w:t>δείκτη μόχλευσης</w:t>
      </w:r>
      <w:r w:rsidRPr="00864618">
        <w:rPr>
          <w:color w:val="000000" w:themeColor="text1"/>
          <w:lang w:val="el-GR"/>
        </w:rPr>
        <w:t xml:space="preserve"> στο </w:t>
      </w:r>
      <w:r w:rsidR="005C06E6" w:rsidRPr="00864618">
        <w:rPr>
          <w:color w:val="000000" w:themeColor="text1"/>
          <w:lang w:val="el-GR"/>
        </w:rPr>
        <w:t>1</w:t>
      </w:r>
      <w:r w:rsidR="000A55F7">
        <w:rPr>
          <w:color w:val="000000" w:themeColor="text1"/>
          <w:lang w:val="el-GR"/>
        </w:rPr>
        <w:t>1</w:t>
      </w:r>
      <w:r w:rsidRPr="00864618">
        <w:rPr>
          <w:color w:val="000000" w:themeColor="text1"/>
          <w:lang w:val="el-GR"/>
        </w:rPr>
        <w:t xml:space="preserve">%.  Αντίστοιχα, τα εποπτικά κεφάλαια </w:t>
      </w:r>
      <w:r w:rsidRPr="00864618">
        <w:rPr>
          <w:color w:val="000000" w:themeColor="text1"/>
          <w:lang w:val="en-US"/>
        </w:rPr>
        <w:t>CET</w:t>
      </w:r>
      <w:r w:rsidRPr="00864618">
        <w:rPr>
          <w:color w:val="000000" w:themeColor="text1"/>
          <w:lang w:val="el-GR"/>
        </w:rPr>
        <w:t>-1 ανέρχονται σε €9</w:t>
      </w:r>
      <w:r w:rsidR="00AE04BC" w:rsidRPr="00864618">
        <w:rPr>
          <w:color w:val="000000" w:themeColor="text1"/>
          <w:lang w:val="el-GR"/>
        </w:rPr>
        <w:t>,</w:t>
      </w:r>
      <w:r w:rsidRPr="00864618">
        <w:rPr>
          <w:color w:val="000000" w:themeColor="text1"/>
          <w:lang w:val="el-GR"/>
        </w:rPr>
        <w:t>2</w:t>
      </w:r>
      <w:r w:rsidR="00AE04BC" w:rsidRPr="00864618">
        <w:rPr>
          <w:color w:val="000000" w:themeColor="text1"/>
          <w:lang w:val="el-GR"/>
        </w:rPr>
        <w:t xml:space="preserve"> </w:t>
      </w:r>
      <w:r w:rsidRPr="00864618">
        <w:rPr>
          <w:color w:val="000000" w:themeColor="text1"/>
          <w:lang w:val="el-GR"/>
        </w:rPr>
        <w:t xml:space="preserve">δισ. </w:t>
      </w:r>
    </w:p>
    <w:p w:rsidR="00277F17" w:rsidRPr="00864618" w:rsidRDefault="00277F17" w:rsidP="00CE5D05">
      <w:pPr>
        <w:pStyle w:val="05PLAINTEXT"/>
        <w:spacing w:before="100"/>
        <w:ind w:left="2552" w:right="-285"/>
        <w:rPr>
          <w:color w:val="000000" w:themeColor="text1"/>
          <w:lang w:val="el-GR"/>
        </w:rPr>
      </w:pPr>
    </w:p>
    <w:p w:rsidR="00277F17" w:rsidRPr="00864618" w:rsidRDefault="00F83A59" w:rsidP="00CE5D05">
      <w:pPr>
        <w:pStyle w:val="05PLAINTEXT"/>
        <w:spacing w:before="100"/>
        <w:ind w:left="2552" w:right="-285"/>
        <w:rPr>
          <w:color w:val="000000" w:themeColor="text1"/>
          <w:lang w:val="el-GR"/>
        </w:rPr>
      </w:pPr>
      <w:r w:rsidRPr="00864618">
        <w:rPr>
          <w:b/>
          <w:color w:val="000000" w:themeColor="text1"/>
          <w:lang w:val="el-GR"/>
        </w:rPr>
        <w:t>Ο δείκτης κεφαλαίου κοινών μετοχών Κατηγορίας Ι (</w:t>
      </w:r>
      <w:r w:rsidRPr="00864618">
        <w:rPr>
          <w:b/>
          <w:color w:val="000000" w:themeColor="text1"/>
          <w:lang w:val="en-US"/>
        </w:rPr>
        <w:t>Common</w:t>
      </w:r>
      <w:r w:rsidRPr="00864618">
        <w:rPr>
          <w:b/>
          <w:color w:val="000000" w:themeColor="text1"/>
          <w:lang w:val="el-GR"/>
        </w:rPr>
        <w:t xml:space="preserve"> </w:t>
      </w:r>
      <w:r w:rsidRPr="00864618">
        <w:rPr>
          <w:b/>
          <w:color w:val="000000" w:themeColor="text1"/>
          <w:lang w:val="en-US"/>
        </w:rPr>
        <w:t>Equity</w:t>
      </w:r>
      <w:r w:rsidRPr="00864618">
        <w:rPr>
          <w:b/>
          <w:color w:val="000000" w:themeColor="text1"/>
          <w:lang w:val="el-GR"/>
        </w:rPr>
        <w:t xml:space="preserve"> </w:t>
      </w:r>
      <w:r w:rsidRPr="00864618">
        <w:rPr>
          <w:b/>
          <w:color w:val="000000" w:themeColor="text1"/>
        </w:rPr>
        <w:t>Tier</w:t>
      </w:r>
      <w:r w:rsidRPr="00864618">
        <w:rPr>
          <w:b/>
          <w:color w:val="000000" w:themeColor="text1"/>
          <w:lang w:val="el-GR"/>
        </w:rPr>
        <w:t>-1) του Ομίλου</w:t>
      </w:r>
      <w:r w:rsidRPr="00864618">
        <w:rPr>
          <w:color w:val="000000" w:themeColor="text1"/>
          <w:lang w:val="el-GR"/>
        </w:rPr>
        <w:t xml:space="preserve"> διαμορφώθηκε στο τέλος 2015 στο 17,</w:t>
      </w:r>
      <w:r w:rsidR="005C06E6" w:rsidRPr="00864618">
        <w:rPr>
          <w:color w:val="000000" w:themeColor="text1"/>
          <w:lang w:val="el-GR"/>
        </w:rPr>
        <w:t>6</w:t>
      </w:r>
      <w:r w:rsidRPr="00864618">
        <w:rPr>
          <w:color w:val="000000" w:themeColor="text1"/>
          <w:lang w:val="el-GR"/>
        </w:rPr>
        <w:t>% (</w:t>
      </w:r>
      <w:r w:rsidRPr="00864618">
        <w:rPr>
          <w:color w:val="000000" w:themeColor="text1"/>
          <w:lang w:val="en-US"/>
        </w:rPr>
        <w:t>pro</w:t>
      </w:r>
      <w:r w:rsidRPr="00864618">
        <w:rPr>
          <w:color w:val="000000" w:themeColor="text1"/>
          <w:lang w:val="el-GR"/>
        </w:rPr>
        <w:t>-</w:t>
      </w:r>
      <w:r w:rsidRPr="00864618">
        <w:rPr>
          <w:color w:val="000000" w:themeColor="text1"/>
          <w:lang w:val="en-US"/>
        </w:rPr>
        <w:t>forma</w:t>
      </w:r>
      <w:r w:rsidRPr="00864618">
        <w:rPr>
          <w:color w:val="000000" w:themeColor="text1"/>
          <w:lang w:val="el-GR"/>
        </w:rPr>
        <w:t xml:space="preserve"> για </w:t>
      </w:r>
      <w:r w:rsidR="005C06E6" w:rsidRPr="00864618">
        <w:rPr>
          <w:color w:val="000000" w:themeColor="text1"/>
          <w:lang w:val="el-GR"/>
        </w:rPr>
        <w:t xml:space="preserve">την επικείμενη </w:t>
      </w:r>
      <w:proofErr w:type="spellStart"/>
      <w:r w:rsidR="005C06E6" w:rsidRPr="00864618">
        <w:rPr>
          <w:color w:val="000000" w:themeColor="text1"/>
          <w:lang w:val="el-GR"/>
        </w:rPr>
        <w:t>αποεπένδυση</w:t>
      </w:r>
      <w:proofErr w:type="spellEnd"/>
      <w:r w:rsidR="005C06E6" w:rsidRPr="00864618">
        <w:rPr>
          <w:color w:val="000000" w:themeColor="text1"/>
          <w:lang w:val="el-GR"/>
        </w:rPr>
        <w:t xml:space="preserve"> από </w:t>
      </w:r>
      <w:r w:rsidRPr="00864618">
        <w:rPr>
          <w:color w:val="000000" w:themeColor="text1"/>
          <w:lang w:val="el-GR"/>
        </w:rPr>
        <w:t xml:space="preserve">τις διακοπτόμενες δραστηριότητες της Τράπεζας Πειραιώς Κύπρου και της ΑΤΕ Ασφαλιστικής). Ο δείκτης  </w:t>
      </w:r>
      <w:r w:rsidRPr="00864618">
        <w:rPr>
          <w:b/>
          <w:color w:val="000000" w:themeColor="text1"/>
          <w:lang w:val="en-US"/>
        </w:rPr>
        <w:lastRenderedPageBreak/>
        <w:t>Common</w:t>
      </w:r>
      <w:r w:rsidRPr="00864618">
        <w:rPr>
          <w:b/>
          <w:color w:val="000000" w:themeColor="text1"/>
          <w:lang w:val="el-GR"/>
        </w:rPr>
        <w:t xml:space="preserve"> </w:t>
      </w:r>
      <w:r w:rsidRPr="00864618">
        <w:rPr>
          <w:b/>
          <w:color w:val="000000" w:themeColor="text1"/>
          <w:lang w:val="en-US"/>
        </w:rPr>
        <w:t>Equity</w:t>
      </w:r>
      <w:r w:rsidRPr="00864618">
        <w:rPr>
          <w:b/>
          <w:color w:val="000000" w:themeColor="text1"/>
          <w:lang w:val="el-GR"/>
        </w:rPr>
        <w:t xml:space="preserve"> </w:t>
      </w:r>
      <w:r w:rsidRPr="00864618">
        <w:rPr>
          <w:b/>
          <w:color w:val="000000" w:themeColor="text1"/>
        </w:rPr>
        <w:t>Tier</w:t>
      </w:r>
      <w:r w:rsidRPr="00864618">
        <w:rPr>
          <w:b/>
          <w:color w:val="000000" w:themeColor="text1"/>
          <w:lang w:val="el-GR"/>
        </w:rPr>
        <w:t>-1, με βάση την πλήρη εφαρμογή των κανόνων της Βασιλείας ΙΙΙ</w:t>
      </w:r>
      <w:r w:rsidRPr="00864618">
        <w:rPr>
          <w:color w:val="000000" w:themeColor="text1"/>
          <w:lang w:val="el-GR"/>
        </w:rPr>
        <w:t>, διαμορφώθηκε στο 16,</w:t>
      </w:r>
      <w:r w:rsidR="005C06E6" w:rsidRPr="00864618">
        <w:rPr>
          <w:color w:val="000000" w:themeColor="text1"/>
          <w:lang w:val="el-GR"/>
        </w:rPr>
        <w:t>7</w:t>
      </w:r>
      <w:r w:rsidR="00277F17" w:rsidRPr="00864618">
        <w:rPr>
          <w:color w:val="000000" w:themeColor="text1"/>
          <w:lang w:val="el-GR"/>
        </w:rPr>
        <w:t>%.</w:t>
      </w:r>
    </w:p>
    <w:p w:rsidR="00277F17" w:rsidRPr="00864618" w:rsidRDefault="00277F17" w:rsidP="00CE5D05">
      <w:pPr>
        <w:pStyle w:val="05PLAINTEXT"/>
        <w:spacing w:before="100"/>
        <w:ind w:left="2552" w:right="-285"/>
        <w:rPr>
          <w:b/>
          <w:bCs/>
          <w:color w:val="000000" w:themeColor="text1"/>
          <w:lang w:val="el-GR"/>
        </w:rPr>
      </w:pPr>
    </w:p>
    <w:p w:rsidR="00277F17" w:rsidRPr="00864618" w:rsidRDefault="00F83A59" w:rsidP="00CE5D05">
      <w:pPr>
        <w:pStyle w:val="05PLAINTEXT"/>
        <w:spacing w:before="100"/>
        <w:ind w:left="2552" w:right="-285"/>
        <w:rPr>
          <w:color w:val="000000" w:themeColor="text1"/>
          <w:lang w:val="el-GR"/>
        </w:rPr>
      </w:pPr>
      <w:r w:rsidRPr="00864618">
        <w:rPr>
          <w:b/>
          <w:bCs/>
          <w:color w:val="000000" w:themeColor="text1"/>
          <w:lang w:val="el-GR"/>
        </w:rPr>
        <w:t>Αθήνα, 25 Μάϊου 2016</w:t>
      </w:r>
    </w:p>
    <w:p w:rsidR="00A35C75" w:rsidRDefault="00A35C75" w:rsidP="009B5ED3">
      <w:pPr>
        <w:pStyle w:val="05PLAINTEXT"/>
        <w:spacing w:before="100"/>
        <w:ind w:left="2552"/>
        <w:rPr>
          <w:i/>
          <w:color w:val="auto"/>
          <w:lang w:val="el-GR"/>
        </w:rPr>
      </w:pPr>
    </w:p>
    <w:p w:rsidR="00AE04BC" w:rsidRDefault="00AE04BC" w:rsidP="00A35C75">
      <w:pPr>
        <w:ind w:left="2552"/>
        <w:jc w:val="both"/>
        <w:rPr>
          <w:i/>
          <w:sz w:val="18"/>
          <w:szCs w:val="18"/>
        </w:rPr>
      </w:pPr>
    </w:p>
    <w:p w:rsidR="00AE04BC" w:rsidRDefault="00AE04BC" w:rsidP="00A35C75">
      <w:pPr>
        <w:ind w:left="2552"/>
        <w:jc w:val="both"/>
        <w:rPr>
          <w:i/>
          <w:sz w:val="18"/>
          <w:szCs w:val="18"/>
        </w:rPr>
      </w:pPr>
    </w:p>
    <w:p w:rsidR="008E00C1" w:rsidRPr="000B396F" w:rsidRDefault="00F83A59" w:rsidP="00CE5D05">
      <w:pPr>
        <w:ind w:left="2552" w:right="-285"/>
        <w:jc w:val="both"/>
        <w:rPr>
          <w:rFonts w:cs="Calibri"/>
          <w:sz w:val="18"/>
          <w:szCs w:val="18"/>
        </w:rPr>
      </w:pPr>
      <w:r w:rsidRPr="00864618">
        <w:rPr>
          <w:i/>
          <w:sz w:val="18"/>
          <w:szCs w:val="18"/>
        </w:rPr>
        <w:t>Οι</w:t>
      </w:r>
      <w:r w:rsidR="00E3720D">
        <w:rPr>
          <w:i/>
          <w:sz w:val="18"/>
          <w:szCs w:val="18"/>
        </w:rPr>
        <w:t xml:space="preserve"> ενοποιημένες</w:t>
      </w:r>
      <w:r w:rsidRPr="00864618">
        <w:rPr>
          <w:i/>
          <w:sz w:val="18"/>
          <w:szCs w:val="18"/>
        </w:rPr>
        <w:t xml:space="preserve"> οικονομικές καταστάσεις του Ομίλου Πειραιώς για το 1ο</w:t>
      </w:r>
      <w:r w:rsidRPr="00864618">
        <w:rPr>
          <w:i/>
          <w:sz w:val="18"/>
          <w:szCs w:val="18"/>
          <w:vertAlign w:val="superscript"/>
        </w:rPr>
        <w:t xml:space="preserve"> </w:t>
      </w:r>
      <w:r w:rsidRPr="00864618">
        <w:rPr>
          <w:i/>
          <w:sz w:val="18"/>
          <w:szCs w:val="18"/>
        </w:rPr>
        <w:t>3μηνο 2016 θα αναρτηθούν στην ιστοσελίδα του</w:t>
      </w:r>
      <w:r w:rsidR="00A35C75" w:rsidRPr="00864618">
        <w:rPr>
          <w:i/>
          <w:sz w:val="18"/>
          <w:szCs w:val="18"/>
        </w:rPr>
        <w:t xml:space="preserve"> (</w:t>
      </w:r>
      <w:hyperlink r:id="rId17" w:history="1">
        <w:r w:rsidR="00A35C75" w:rsidRPr="00864618">
          <w:rPr>
            <w:i/>
            <w:sz w:val="18"/>
            <w:szCs w:val="18"/>
          </w:rPr>
          <w:t>www.piraeusbankgroup.com</w:t>
        </w:r>
      </w:hyperlink>
      <w:r w:rsidR="00A35C75" w:rsidRPr="00864618">
        <w:rPr>
          <w:i/>
          <w:sz w:val="18"/>
          <w:szCs w:val="18"/>
        </w:rPr>
        <w:t>)</w:t>
      </w:r>
      <w:r w:rsidRPr="00864618">
        <w:rPr>
          <w:i/>
          <w:sz w:val="18"/>
          <w:szCs w:val="18"/>
        </w:rPr>
        <w:t xml:space="preserve"> </w:t>
      </w:r>
      <w:r w:rsidR="00E3720D">
        <w:rPr>
          <w:i/>
          <w:sz w:val="18"/>
          <w:szCs w:val="18"/>
        </w:rPr>
        <w:t xml:space="preserve">ως το τέλος </w:t>
      </w:r>
      <w:r w:rsidR="00A35C75" w:rsidRPr="00864618">
        <w:rPr>
          <w:i/>
          <w:sz w:val="18"/>
          <w:szCs w:val="18"/>
        </w:rPr>
        <w:t>Μαΐου</w:t>
      </w:r>
      <w:r w:rsidRPr="00864618">
        <w:rPr>
          <w:i/>
          <w:sz w:val="18"/>
          <w:szCs w:val="18"/>
        </w:rPr>
        <w:t xml:space="preserve"> 2016</w:t>
      </w:r>
      <w:r w:rsidR="00A35C75" w:rsidRPr="00864618">
        <w:rPr>
          <w:i/>
          <w:sz w:val="18"/>
          <w:szCs w:val="18"/>
        </w:rPr>
        <w:t>.</w:t>
      </w:r>
    </w:p>
    <w:sectPr w:rsidR="008E00C1" w:rsidRPr="000B396F" w:rsidSect="00360AA2">
      <w:headerReference w:type="default" r:id="rId18"/>
      <w:footerReference w:type="default" r:id="rId19"/>
      <w:headerReference w:type="first" r:id="rId20"/>
      <w:pgSz w:w="11906" w:h="16838"/>
      <w:pgMar w:top="1440" w:right="1701" w:bottom="992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E51" w:rsidRDefault="00DA6E51" w:rsidP="00A14E18">
      <w:pPr>
        <w:spacing w:after="0" w:line="240" w:lineRule="auto"/>
      </w:pPr>
      <w:r>
        <w:separator/>
      </w:r>
    </w:p>
  </w:endnote>
  <w:endnote w:type="continuationSeparator" w:id="0">
    <w:p w:rsidR="00DA6E51" w:rsidRDefault="00DA6E51" w:rsidP="00A1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="10823" w:tblpY="7769"/>
      <w:tblW w:w="403" w:type="pct"/>
      <w:tblLook w:val="00A0"/>
    </w:tblPr>
    <w:tblGrid>
      <w:gridCol w:w="658"/>
    </w:tblGrid>
    <w:tr w:rsidR="00AA0D5A" w:rsidRPr="00C466FD" w:rsidTr="000532FB">
      <w:trPr>
        <w:trHeight w:val="8228"/>
      </w:trPr>
      <w:tc>
        <w:tcPr>
          <w:tcW w:w="658" w:type="dxa"/>
          <w:tcMar>
            <w:left w:w="113" w:type="dxa"/>
            <w:bottom w:w="113" w:type="dxa"/>
          </w:tcMar>
          <w:textDirection w:val="btLr"/>
        </w:tcPr>
        <w:p w:rsidR="00AA0D5A" w:rsidRPr="00C466FD" w:rsidRDefault="00AA0D5A" w:rsidP="000532FB">
          <w:pPr>
            <w:rPr>
              <w:rFonts w:ascii="Calibri" w:hAnsi="Calibri"/>
              <w:color w:val="A7A896"/>
              <w:sz w:val="16"/>
              <w:szCs w:val="16"/>
            </w:rPr>
          </w:pPr>
          <w:r>
            <w:rPr>
              <w:rFonts w:ascii="Calibri" w:hAnsi="Calibri"/>
              <w:color w:val="A7A896"/>
              <w:sz w:val="16"/>
              <w:szCs w:val="16"/>
            </w:rPr>
            <w:t xml:space="preserve">   </w:t>
          </w:r>
          <w:r w:rsidRPr="008A53D4">
            <w:rPr>
              <w:rFonts w:ascii="Calibri" w:hAnsi="Calibri"/>
              <w:color w:val="A7A896"/>
              <w:sz w:val="16"/>
              <w:szCs w:val="16"/>
            </w:rPr>
            <w:t xml:space="preserve">  </w:t>
          </w:r>
          <w:r w:rsidRPr="00C466FD">
            <w:rPr>
              <w:rFonts w:ascii="Calibri" w:hAnsi="Calibri"/>
              <w:color w:val="A7A896"/>
              <w:sz w:val="16"/>
              <w:szCs w:val="16"/>
            </w:rPr>
            <w:t>ΟΜΙΛΟΣ ΤΡΑΠΕΖΑΣ ΠΕΙΡΑΙΩΣ – ΑΠΟΤΕΛΕΣΜΑΤΑ 1ΟΥ 3ΜΗΝΟΥ 2016</w:t>
          </w:r>
        </w:p>
      </w:tc>
    </w:tr>
    <w:tr w:rsidR="00AA0D5A" w:rsidRPr="0089197B" w:rsidTr="000532FB">
      <w:trPr>
        <w:trHeight w:val="553"/>
      </w:trPr>
      <w:tc>
        <w:tcPr>
          <w:tcW w:w="658" w:type="dxa"/>
        </w:tcPr>
        <w:p w:rsidR="00AA0D5A" w:rsidRPr="0022003F" w:rsidRDefault="00C058B0" w:rsidP="000532FB">
          <w:pPr>
            <w:pStyle w:val="a4"/>
            <w:rPr>
              <w:rFonts w:asciiTheme="majorHAnsi" w:hAnsiTheme="majorHAnsi"/>
              <w:b/>
              <w:color w:val="11275D"/>
              <w:sz w:val="28"/>
              <w:szCs w:val="28"/>
            </w:rPr>
          </w:pPr>
          <w:r w:rsidRPr="00E27675">
            <w:rPr>
              <w:rFonts w:asciiTheme="majorHAnsi" w:hAnsiTheme="majorHAnsi"/>
              <w:b/>
              <w:color w:val="003C96" w:themeColor="text2"/>
              <w:sz w:val="28"/>
              <w:szCs w:val="28"/>
            </w:rPr>
            <w:fldChar w:fldCharType="begin"/>
          </w:r>
          <w:r w:rsidR="00AA0D5A" w:rsidRPr="00E27675">
            <w:rPr>
              <w:rFonts w:asciiTheme="majorHAnsi" w:hAnsiTheme="majorHAnsi"/>
              <w:b/>
              <w:color w:val="003C96" w:themeColor="text2"/>
              <w:sz w:val="28"/>
              <w:szCs w:val="28"/>
            </w:rPr>
            <w:instrText xml:space="preserve"> PAGE   \* MERGEFORMAT </w:instrText>
          </w:r>
          <w:r w:rsidRPr="00E27675">
            <w:rPr>
              <w:rFonts w:asciiTheme="majorHAnsi" w:hAnsiTheme="majorHAnsi"/>
              <w:b/>
              <w:color w:val="003C96" w:themeColor="text2"/>
              <w:sz w:val="28"/>
              <w:szCs w:val="28"/>
            </w:rPr>
            <w:fldChar w:fldCharType="separate"/>
          </w:r>
          <w:r w:rsidR="00ED1E2D">
            <w:rPr>
              <w:rFonts w:asciiTheme="majorHAnsi" w:hAnsiTheme="majorHAnsi"/>
              <w:b/>
              <w:noProof/>
              <w:color w:val="003C96" w:themeColor="text2"/>
              <w:sz w:val="28"/>
              <w:szCs w:val="28"/>
            </w:rPr>
            <w:t>3</w:t>
          </w:r>
          <w:r w:rsidRPr="00E27675">
            <w:rPr>
              <w:rFonts w:asciiTheme="majorHAnsi" w:hAnsiTheme="majorHAnsi"/>
              <w:b/>
              <w:noProof/>
              <w:color w:val="003C96" w:themeColor="text2"/>
              <w:sz w:val="28"/>
              <w:szCs w:val="28"/>
            </w:rPr>
            <w:fldChar w:fldCharType="end"/>
          </w:r>
        </w:p>
      </w:tc>
    </w:tr>
  </w:tbl>
  <w:p w:rsidR="00AA0D5A" w:rsidRDefault="00C058B0" w:rsidP="000532FB">
    <w:pPr>
      <w:pStyle w:val="a4"/>
      <w:jc w:val="right"/>
    </w:pPr>
    <w:r w:rsidRPr="00C058B0">
      <w:rPr>
        <w:noProof/>
        <w:lang w:val="en-GB"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2" o:spid="_x0000_s2051" type="#_x0000_t32" style="position:absolute;left:0;text-align:left;margin-left:529.55pt;margin-top:6.25pt;width:87.85pt;height:.05pt;z-index:251669504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" strokecolor="#ffc000"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E51" w:rsidRDefault="00DA6E51" w:rsidP="00A14E18">
      <w:pPr>
        <w:spacing w:after="0" w:line="240" w:lineRule="auto"/>
      </w:pPr>
      <w:r>
        <w:separator/>
      </w:r>
    </w:p>
  </w:footnote>
  <w:footnote w:type="continuationSeparator" w:id="0">
    <w:p w:rsidR="00DA6E51" w:rsidRDefault="00DA6E51" w:rsidP="00A14E18">
      <w:pPr>
        <w:spacing w:after="0" w:line="240" w:lineRule="auto"/>
      </w:pPr>
      <w:r>
        <w:continuationSeparator/>
      </w:r>
    </w:p>
  </w:footnote>
  <w:footnote w:id="1">
    <w:p w:rsidR="00AA0D5A" w:rsidRPr="00F325C1" w:rsidRDefault="00AA0D5A" w:rsidP="003A48E0">
      <w:pPr>
        <w:pStyle w:val="a9"/>
        <w:ind w:left="284" w:hanging="284"/>
        <w:jc w:val="both"/>
        <w:rPr>
          <w:rFonts w:asciiTheme="majorHAnsi" w:hAnsiTheme="majorHAnsi"/>
          <w:color w:val="808080" w:themeColor="background1" w:themeShade="80"/>
          <w:sz w:val="8"/>
          <w:szCs w:val="8"/>
          <w:lang w:val="el-GR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9F" w:rsidRPr="0019329F" w:rsidRDefault="00C058B0" w:rsidP="0019329F">
    <w:pPr>
      <w:pStyle w:val="a3"/>
      <w:jc w:val="both"/>
      <w:rPr>
        <w:color w:val="FF0000"/>
      </w:rPr>
    </w:pPr>
    <w:r w:rsidRPr="00C058B0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52" type="#_x0000_t202" style="position:absolute;left:0;text-align:left;margin-left:250.05pt;margin-top:28.8pt;width:172.3pt;height:18pt;z-index:251667456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" filled="f" stroked="f">
          <v:path arrowok="t"/>
          <v:textbox>
            <w:txbxContent>
              <w:p w:rsidR="00AA0D5A" w:rsidRPr="00433C8C" w:rsidRDefault="00AA0D5A" w:rsidP="000532FB">
                <w:pPr>
                  <w:pStyle w:val="01HEADLINE"/>
                  <w:jc w:val="right"/>
                  <w:rPr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color w:val="404040" w:themeColor="text1" w:themeTint="BF"/>
                    <w:sz w:val="20"/>
                    <w:szCs w:val="20"/>
                  </w:rPr>
                  <w:t>25</w:t>
                </w:r>
                <w:r w:rsidRPr="00A64EC0">
                  <w:rPr>
                    <w:color w:val="404040" w:themeColor="text1" w:themeTint="BF"/>
                    <w:sz w:val="20"/>
                    <w:szCs w:val="20"/>
                  </w:rPr>
                  <w:t>.</w:t>
                </w:r>
                <w:r>
                  <w:rPr>
                    <w:color w:val="404040" w:themeColor="text1" w:themeTint="BF"/>
                    <w:sz w:val="20"/>
                    <w:szCs w:val="20"/>
                  </w:rPr>
                  <w:t>05</w:t>
                </w:r>
                <w:r w:rsidRPr="00A64EC0">
                  <w:rPr>
                    <w:color w:val="404040" w:themeColor="text1" w:themeTint="BF"/>
                    <w:sz w:val="20"/>
                    <w:szCs w:val="20"/>
                  </w:rPr>
                  <w:t>.201</w:t>
                </w:r>
                <w:r>
                  <w:rPr>
                    <w:color w:val="404040" w:themeColor="text1" w:themeTint="BF"/>
                    <w:sz w:val="20"/>
                    <w:szCs w:val="20"/>
                  </w:rPr>
                  <w:t>6</w:t>
                </w:r>
              </w:p>
              <w:p w:rsidR="00AA0D5A" w:rsidRPr="003632A0" w:rsidRDefault="00AA0D5A" w:rsidP="000532FB"/>
            </w:txbxContent>
          </v:textbox>
          <w10:wrap anchory="page"/>
        </v:shape>
      </w:pict>
    </w:r>
    <w:r w:rsidR="0019329F">
      <w:rPr>
        <w:noProof/>
        <w:lang w:val="en-US" w:eastAsia="en-US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leftMargin">
            <wp:align>right</wp:align>
          </wp:positionH>
          <wp:positionV relativeFrom="paragraph">
            <wp:posOffset>-341757</wp:posOffset>
          </wp:positionV>
          <wp:extent cx="1043940" cy="782320"/>
          <wp:effectExtent l="0" t="0" r="3810" b="0"/>
          <wp:wrapTight wrapText="bothSides">
            <wp:wrapPolygon edited="0">
              <wp:start x="0" y="0"/>
              <wp:lineTo x="0" y="21039"/>
              <wp:lineTo x="21285" y="21039"/>
              <wp:lineTo x="21285" y="0"/>
              <wp:lineTo x="0" y="0"/>
            </wp:wrapPolygon>
          </wp:wrapTight>
          <wp:docPr id="3" name="Picture 0" descr="sampl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pleA.png"/>
                  <pic:cNvPicPr/>
                </pic:nvPicPr>
                <pic:blipFill rotWithShape="1">
                  <a:blip r:embed="rId1"/>
                  <a:srcRect l="7753" t="2778" r="75273" b="88223"/>
                  <a:stretch/>
                </pic:blipFill>
                <pic:spPr bwMode="auto">
                  <a:xfrm>
                    <a:off x="0" y="0"/>
                    <a:ext cx="1043940" cy="782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19329F" w:rsidRPr="0019329F">
      <w:rPr>
        <w:color w:val="FF0000"/>
      </w:rPr>
      <w:t xml:space="preserve"> </w:t>
    </w:r>
  </w:p>
  <w:p w:rsidR="00AA0D5A" w:rsidRDefault="00AA0D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D5A" w:rsidRPr="0019329F" w:rsidRDefault="00AA0D5A">
    <w:pPr>
      <w:pStyle w:val="a3"/>
      <w:rPr>
        <w:color w:val="FF0000"/>
      </w:rPr>
    </w:pPr>
    <w:r w:rsidRPr="0019329F">
      <w:rPr>
        <w:noProof/>
        <w:color w:val="FF0000"/>
        <w:lang w:val="en-US" w:eastAsia="en-US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-1188720</wp:posOffset>
          </wp:positionH>
          <wp:positionV relativeFrom="paragraph">
            <wp:posOffset>-153035</wp:posOffset>
          </wp:positionV>
          <wp:extent cx="1200785" cy="899795"/>
          <wp:effectExtent l="0" t="0" r="0" b="0"/>
          <wp:wrapTight wrapText="bothSides">
            <wp:wrapPolygon edited="0">
              <wp:start x="0" y="0"/>
              <wp:lineTo x="0" y="21036"/>
              <wp:lineTo x="21246" y="21036"/>
              <wp:lineTo x="21246" y="0"/>
              <wp:lineTo x="0" y="0"/>
            </wp:wrapPolygon>
          </wp:wrapTight>
          <wp:docPr id="4" name="Picture 0" descr="sampl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pleA.png"/>
                  <pic:cNvPicPr/>
                </pic:nvPicPr>
                <pic:blipFill rotWithShape="1">
                  <a:blip r:embed="rId1"/>
                  <a:srcRect l="7753" t="2778" r="75273" b="88223"/>
                  <a:stretch/>
                </pic:blipFill>
                <pic:spPr bwMode="auto">
                  <a:xfrm>
                    <a:off x="0" y="0"/>
                    <a:ext cx="1200785" cy="899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C058B0" w:rsidRPr="00C058B0">
      <w:rPr>
        <w:rFonts w:ascii="Calibri" w:eastAsia="Times New Roman" w:hAnsi="Calibri" w:cs="Calibri"/>
        <w:noProof/>
        <w:color w:val="FF0000"/>
        <w:sz w:val="24"/>
        <w:szCs w:val="24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0" type="#_x0000_t202" style="position:absolute;margin-left:135.8pt;margin-top:22.5pt;width:403.95pt;height:29pt;z-index:251663360;visibility:visible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" filled="f" stroked="f">
          <v:path arrowok="t"/>
          <v:textbox>
            <w:txbxContent>
              <w:p w:rsidR="00AA0D5A" w:rsidRPr="00C466FD" w:rsidRDefault="00AA0D5A" w:rsidP="00A14E18">
                <w:pPr>
                  <w:pStyle w:val="01HEADLINE"/>
                  <w:jc w:val="right"/>
                  <w:rPr>
                    <w:b w:val="0"/>
                    <w:color w:val="000000" w:themeColor="text1"/>
                    <w:sz w:val="24"/>
                    <w:szCs w:val="24"/>
                  </w:rPr>
                </w:pPr>
                <w:r>
                  <w:rPr>
                    <w:b w:val="0"/>
                    <w:color w:val="000000" w:themeColor="text1"/>
                    <w:sz w:val="24"/>
                    <w:szCs w:val="24"/>
                  </w:rPr>
                  <w:t xml:space="preserve">ΟΜΙΛΟΣ ΤΡΑΠΕΖΑΣ ΠΕΙΡΑΙΩΣ - ΑΠΟΤΕΛΕΣΜΑΤΑ </w:t>
                </w:r>
                <w:r w:rsidR="00D25C94">
                  <w:rPr>
                    <w:b w:val="0"/>
                    <w:color w:val="000000" w:themeColor="text1"/>
                    <w:sz w:val="24"/>
                    <w:szCs w:val="24"/>
                  </w:rPr>
                  <w:t xml:space="preserve">1ου </w:t>
                </w:r>
                <w:r>
                  <w:rPr>
                    <w:b w:val="0"/>
                    <w:color w:val="000000" w:themeColor="text1"/>
                    <w:sz w:val="24"/>
                    <w:szCs w:val="24"/>
                  </w:rPr>
                  <w:t>3ΜΗΝΟΥ 2016</w:t>
                </w:r>
              </w:p>
            </w:txbxContent>
          </v:textbox>
          <w10:wrap anchorx="page"/>
        </v:shape>
      </w:pict>
    </w:r>
    <w:r w:rsidR="00C058B0" w:rsidRPr="00C058B0">
      <w:rPr>
        <w:rFonts w:asciiTheme="majorHAnsi" w:hAnsiTheme="majorHAnsi" w:cstheme="majorHAnsi"/>
        <w:noProof/>
        <w:color w:val="FF0000"/>
        <w:lang w:val="en-GB"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49" type="#_x0000_t32" style="position:absolute;margin-left:42.55pt;margin-top:47.8pt;width:480.9pt;height:0;z-index:251661312;visibility:visible;mso-wrap-distance-top:-1e-4mm;mso-wrap-distance-bottom:-1e-4mm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" strokecolor="#ffc000"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3.05pt;height:23.05pt" o:bullet="t">
        <v:imagedata r:id="rId1" o:title="BulletTick"/>
      </v:shape>
    </w:pict>
  </w:numPicBullet>
  <w:abstractNum w:abstractNumId="0">
    <w:nsid w:val="070169E7"/>
    <w:multiLevelType w:val="hybridMultilevel"/>
    <w:tmpl w:val="BCF8F8C6"/>
    <w:lvl w:ilvl="0" w:tplc="8530240A">
      <w:start w:val="1"/>
      <w:numFmt w:val="bullet"/>
      <w:lvlText w:val=""/>
      <w:lvlJc w:val="left"/>
      <w:pPr>
        <w:ind w:left="340" w:hanging="340"/>
      </w:pPr>
      <w:rPr>
        <w:rFonts w:ascii="Wingdings" w:hAnsi="Wingdings" w:hint="default"/>
        <w:color w:val="3A73AE" w:themeColor="accent1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407D0"/>
    <w:multiLevelType w:val="hybridMultilevel"/>
    <w:tmpl w:val="103C4E28"/>
    <w:lvl w:ilvl="0" w:tplc="AAF885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858EA"/>
    <w:multiLevelType w:val="hybridMultilevel"/>
    <w:tmpl w:val="A8CE7D00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200F5"/>
    <w:multiLevelType w:val="hybridMultilevel"/>
    <w:tmpl w:val="8BA48B6E"/>
    <w:lvl w:ilvl="0" w:tplc="900EE7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10099"/>
    <w:multiLevelType w:val="hybridMultilevel"/>
    <w:tmpl w:val="33A6B04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12"/>
        <o:r id="V:Rule2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4E18"/>
    <w:rsid w:val="00003855"/>
    <w:rsid w:val="00013705"/>
    <w:rsid w:val="0001758E"/>
    <w:rsid w:val="000245D8"/>
    <w:rsid w:val="0002751C"/>
    <w:rsid w:val="00043F76"/>
    <w:rsid w:val="00051587"/>
    <w:rsid w:val="000532FB"/>
    <w:rsid w:val="00066296"/>
    <w:rsid w:val="00073A90"/>
    <w:rsid w:val="00073D59"/>
    <w:rsid w:val="000757A0"/>
    <w:rsid w:val="00081584"/>
    <w:rsid w:val="00087529"/>
    <w:rsid w:val="000957E6"/>
    <w:rsid w:val="000A2E3D"/>
    <w:rsid w:val="000A55F7"/>
    <w:rsid w:val="000A5AF3"/>
    <w:rsid w:val="000B3585"/>
    <w:rsid w:val="000B396F"/>
    <w:rsid w:val="000B4245"/>
    <w:rsid w:val="000C3119"/>
    <w:rsid w:val="000D4720"/>
    <w:rsid w:val="000D796B"/>
    <w:rsid w:val="000E05A5"/>
    <w:rsid w:val="0012044E"/>
    <w:rsid w:val="001311D1"/>
    <w:rsid w:val="00144911"/>
    <w:rsid w:val="00155569"/>
    <w:rsid w:val="00167261"/>
    <w:rsid w:val="001672CD"/>
    <w:rsid w:val="00167F49"/>
    <w:rsid w:val="0019329F"/>
    <w:rsid w:val="00197289"/>
    <w:rsid w:val="001B6C4B"/>
    <w:rsid w:val="001D7A9D"/>
    <w:rsid w:val="00214D50"/>
    <w:rsid w:val="00215CFC"/>
    <w:rsid w:val="00226A35"/>
    <w:rsid w:val="00233C11"/>
    <w:rsid w:val="00242D85"/>
    <w:rsid w:val="00256ECB"/>
    <w:rsid w:val="00262182"/>
    <w:rsid w:val="00262200"/>
    <w:rsid w:val="00277F17"/>
    <w:rsid w:val="002A21A5"/>
    <w:rsid w:val="002B2CB2"/>
    <w:rsid w:val="002E7D8A"/>
    <w:rsid w:val="002E7E53"/>
    <w:rsid w:val="002F77D9"/>
    <w:rsid w:val="003150F5"/>
    <w:rsid w:val="00342E00"/>
    <w:rsid w:val="00343716"/>
    <w:rsid w:val="00345011"/>
    <w:rsid w:val="0035125A"/>
    <w:rsid w:val="00360AA2"/>
    <w:rsid w:val="0037143E"/>
    <w:rsid w:val="00372063"/>
    <w:rsid w:val="00372B1F"/>
    <w:rsid w:val="00381B3D"/>
    <w:rsid w:val="003A48E0"/>
    <w:rsid w:val="003B1592"/>
    <w:rsid w:val="003B23EE"/>
    <w:rsid w:val="003C7322"/>
    <w:rsid w:val="003C7402"/>
    <w:rsid w:val="003E56E3"/>
    <w:rsid w:val="003F0EB8"/>
    <w:rsid w:val="00404408"/>
    <w:rsid w:val="0042322D"/>
    <w:rsid w:val="00425AFC"/>
    <w:rsid w:val="004631DC"/>
    <w:rsid w:val="00464693"/>
    <w:rsid w:val="00471476"/>
    <w:rsid w:val="00477191"/>
    <w:rsid w:val="00487439"/>
    <w:rsid w:val="004A1D08"/>
    <w:rsid w:val="004A516D"/>
    <w:rsid w:val="004B6A79"/>
    <w:rsid w:val="004D429C"/>
    <w:rsid w:val="004D6DC5"/>
    <w:rsid w:val="004F197F"/>
    <w:rsid w:val="004F5398"/>
    <w:rsid w:val="00500746"/>
    <w:rsid w:val="00513838"/>
    <w:rsid w:val="00516888"/>
    <w:rsid w:val="00523679"/>
    <w:rsid w:val="00530BD8"/>
    <w:rsid w:val="00536E24"/>
    <w:rsid w:val="0054260A"/>
    <w:rsid w:val="00542DC3"/>
    <w:rsid w:val="005510EB"/>
    <w:rsid w:val="00555E60"/>
    <w:rsid w:val="00561215"/>
    <w:rsid w:val="0057611B"/>
    <w:rsid w:val="00590C26"/>
    <w:rsid w:val="00597FF5"/>
    <w:rsid w:val="005A04F3"/>
    <w:rsid w:val="005A5F06"/>
    <w:rsid w:val="005B632D"/>
    <w:rsid w:val="005C06E6"/>
    <w:rsid w:val="005C3B1E"/>
    <w:rsid w:val="005F34CD"/>
    <w:rsid w:val="006113D1"/>
    <w:rsid w:val="00615454"/>
    <w:rsid w:val="0063066B"/>
    <w:rsid w:val="006418BB"/>
    <w:rsid w:val="00641B75"/>
    <w:rsid w:val="00653FBA"/>
    <w:rsid w:val="006654F1"/>
    <w:rsid w:val="00670D02"/>
    <w:rsid w:val="006A3383"/>
    <w:rsid w:val="006B30FD"/>
    <w:rsid w:val="006C6722"/>
    <w:rsid w:val="007229D8"/>
    <w:rsid w:val="00732F9A"/>
    <w:rsid w:val="007357C7"/>
    <w:rsid w:val="00740AE5"/>
    <w:rsid w:val="00755EF6"/>
    <w:rsid w:val="00764917"/>
    <w:rsid w:val="00770401"/>
    <w:rsid w:val="00780597"/>
    <w:rsid w:val="007854C4"/>
    <w:rsid w:val="00786F28"/>
    <w:rsid w:val="00792482"/>
    <w:rsid w:val="007973A1"/>
    <w:rsid w:val="007D0919"/>
    <w:rsid w:val="007D0DED"/>
    <w:rsid w:val="007F4927"/>
    <w:rsid w:val="0081063D"/>
    <w:rsid w:val="008200AF"/>
    <w:rsid w:val="00821F71"/>
    <w:rsid w:val="00823A0A"/>
    <w:rsid w:val="00824F28"/>
    <w:rsid w:val="008348B3"/>
    <w:rsid w:val="00834BB9"/>
    <w:rsid w:val="0084234C"/>
    <w:rsid w:val="00842BBB"/>
    <w:rsid w:val="00842CE3"/>
    <w:rsid w:val="008515B9"/>
    <w:rsid w:val="0085525A"/>
    <w:rsid w:val="00864618"/>
    <w:rsid w:val="00872791"/>
    <w:rsid w:val="008761D7"/>
    <w:rsid w:val="008816BF"/>
    <w:rsid w:val="00886014"/>
    <w:rsid w:val="00886DDB"/>
    <w:rsid w:val="008A3E5C"/>
    <w:rsid w:val="008A53D4"/>
    <w:rsid w:val="008A6AB3"/>
    <w:rsid w:val="008B0E36"/>
    <w:rsid w:val="008B5702"/>
    <w:rsid w:val="008C2B0B"/>
    <w:rsid w:val="008C3265"/>
    <w:rsid w:val="008C4A93"/>
    <w:rsid w:val="008C4D7D"/>
    <w:rsid w:val="008C5325"/>
    <w:rsid w:val="008E00C1"/>
    <w:rsid w:val="008E7377"/>
    <w:rsid w:val="008F4AEB"/>
    <w:rsid w:val="0091013E"/>
    <w:rsid w:val="009137D9"/>
    <w:rsid w:val="00914982"/>
    <w:rsid w:val="0091795E"/>
    <w:rsid w:val="00922090"/>
    <w:rsid w:val="00951C61"/>
    <w:rsid w:val="009647C8"/>
    <w:rsid w:val="00975D8F"/>
    <w:rsid w:val="00981E35"/>
    <w:rsid w:val="009909CF"/>
    <w:rsid w:val="0099112B"/>
    <w:rsid w:val="00993119"/>
    <w:rsid w:val="00997049"/>
    <w:rsid w:val="009B5ED3"/>
    <w:rsid w:val="009C11F6"/>
    <w:rsid w:val="009C5738"/>
    <w:rsid w:val="009E12DB"/>
    <w:rsid w:val="009F47C6"/>
    <w:rsid w:val="009F5496"/>
    <w:rsid w:val="009F70CA"/>
    <w:rsid w:val="00A14E18"/>
    <w:rsid w:val="00A23C20"/>
    <w:rsid w:val="00A32F35"/>
    <w:rsid w:val="00A35C75"/>
    <w:rsid w:val="00A36960"/>
    <w:rsid w:val="00A369D4"/>
    <w:rsid w:val="00A372B4"/>
    <w:rsid w:val="00A62879"/>
    <w:rsid w:val="00A713BB"/>
    <w:rsid w:val="00A733F3"/>
    <w:rsid w:val="00A82EF1"/>
    <w:rsid w:val="00A93CEE"/>
    <w:rsid w:val="00AA0D5A"/>
    <w:rsid w:val="00AA192B"/>
    <w:rsid w:val="00AA33D5"/>
    <w:rsid w:val="00AA4DAE"/>
    <w:rsid w:val="00AD0A60"/>
    <w:rsid w:val="00AE04BC"/>
    <w:rsid w:val="00AE216C"/>
    <w:rsid w:val="00B00942"/>
    <w:rsid w:val="00B04C8F"/>
    <w:rsid w:val="00B13A84"/>
    <w:rsid w:val="00B20BBB"/>
    <w:rsid w:val="00B2580D"/>
    <w:rsid w:val="00B27D10"/>
    <w:rsid w:val="00B72BE3"/>
    <w:rsid w:val="00B80EF1"/>
    <w:rsid w:val="00B82A0D"/>
    <w:rsid w:val="00B8429B"/>
    <w:rsid w:val="00B92A5B"/>
    <w:rsid w:val="00BA28FE"/>
    <w:rsid w:val="00BA3636"/>
    <w:rsid w:val="00BB70BA"/>
    <w:rsid w:val="00BB7461"/>
    <w:rsid w:val="00BD38EF"/>
    <w:rsid w:val="00BD4C98"/>
    <w:rsid w:val="00BF7D72"/>
    <w:rsid w:val="00C02A37"/>
    <w:rsid w:val="00C058B0"/>
    <w:rsid w:val="00C466FD"/>
    <w:rsid w:val="00C502A7"/>
    <w:rsid w:val="00C61AEE"/>
    <w:rsid w:val="00C726D5"/>
    <w:rsid w:val="00C74907"/>
    <w:rsid w:val="00C74BC2"/>
    <w:rsid w:val="00C818FA"/>
    <w:rsid w:val="00C8383A"/>
    <w:rsid w:val="00C867D3"/>
    <w:rsid w:val="00C875AE"/>
    <w:rsid w:val="00C91FA5"/>
    <w:rsid w:val="00CA17C1"/>
    <w:rsid w:val="00CA7E22"/>
    <w:rsid w:val="00CC1CC8"/>
    <w:rsid w:val="00CE5D05"/>
    <w:rsid w:val="00CF6054"/>
    <w:rsid w:val="00D1644A"/>
    <w:rsid w:val="00D255A1"/>
    <w:rsid w:val="00D25C94"/>
    <w:rsid w:val="00D3037F"/>
    <w:rsid w:val="00D34BB2"/>
    <w:rsid w:val="00D36C61"/>
    <w:rsid w:val="00D55D34"/>
    <w:rsid w:val="00D563D8"/>
    <w:rsid w:val="00D72CD0"/>
    <w:rsid w:val="00D7451C"/>
    <w:rsid w:val="00D74FE2"/>
    <w:rsid w:val="00D94E60"/>
    <w:rsid w:val="00DA619C"/>
    <w:rsid w:val="00DA6E51"/>
    <w:rsid w:val="00DD117E"/>
    <w:rsid w:val="00DD1FE0"/>
    <w:rsid w:val="00DD7437"/>
    <w:rsid w:val="00DD7E00"/>
    <w:rsid w:val="00DE2F2B"/>
    <w:rsid w:val="00DE54DB"/>
    <w:rsid w:val="00DF3238"/>
    <w:rsid w:val="00E0061A"/>
    <w:rsid w:val="00E00C8F"/>
    <w:rsid w:val="00E25ADE"/>
    <w:rsid w:val="00E27675"/>
    <w:rsid w:val="00E30520"/>
    <w:rsid w:val="00E3720D"/>
    <w:rsid w:val="00E46930"/>
    <w:rsid w:val="00E47E8A"/>
    <w:rsid w:val="00E524A7"/>
    <w:rsid w:val="00E6209A"/>
    <w:rsid w:val="00E63480"/>
    <w:rsid w:val="00E847A2"/>
    <w:rsid w:val="00E85CEA"/>
    <w:rsid w:val="00E95ECB"/>
    <w:rsid w:val="00EA4630"/>
    <w:rsid w:val="00EB2339"/>
    <w:rsid w:val="00EC512E"/>
    <w:rsid w:val="00EC7857"/>
    <w:rsid w:val="00ED1E2D"/>
    <w:rsid w:val="00EE21EF"/>
    <w:rsid w:val="00EE5C04"/>
    <w:rsid w:val="00EF4021"/>
    <w:rsid w:val="00F0670B"/>
    <w:rsid w:val="00F165F0"/>
    <w:rsid w:val="00F168DB"/>
    <w:rsid w:val="00F254B7"/>
    <w:rsid w:val="00F26274"/>
    <w:rsid w:val="00F36849"/>
    <w:rsid w:val="00F57A53"/>
    <w:rsid w:val="00F65EAC"/>
    <w:rsid w:val="00F74B5F"/>
    <w:rsid w:val="00F83A59"/>
    <w:rsid w:val="00FB07BB"/>
    <w:rsid w:val="00FB384A"/>
    <w:rsid w:val="00FC02A3"/>
    <w:rsid w:val="00FC4D48"/>
    <w:rsid w:val="00FE79A7"/>
    <w:rsid w:val="00FF0E5A"/>
    <w:rsid w:val="00FF1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4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14E18"/>
  </w:style>
  <w:style w:type="paragraph" w:styleId="a4">
    <w:name w:val="footer"/>
    <w:basedOn w:val="a"/>
    <w:link w:val="Char0"/>
    <w:uiPriority w:val="99"/>
    <w:unhideWhenUsed/>
    <w:rsid w:val="00A14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14E18"/>
  </w:style>
  <w:style w:type="paragraph" w:customStyle="1" w:styleId="01HEADLINE">
    <w:name w:val="01 HEADLINE"/>
    <w:basedOn w:val="a3"/>
    <w:qFormat/>
    <w:rsid w:val="00A14E18"/>
    <w:pPr>
      <w:tabs>
        <w:tab w:val="clear" w:pos="4513"/>
        <w:tab w:val="clear" w:pos="9026"/>
        <w:tab w:val="center" w:pos="4320"/>
        <w:tab w:val="right" w:pos="8640"/>
      </w:tabs>
    </w:pPr>
    <w:rPr>
      <w:rFonts w:ascii="Calibri" w:eastAsia="Times New Roman" w:hAnsi="Calibri"/>
      <w:b/>
      <w:color w:val="FFFFFF"/>
      <w:sz w:val="26"/>
      <w:szCs w:val="26"/>
    </w:rPr>
  </w:style>
  <w:style w:type="paragraph" w:styleId="a5">
    <w:name w:val="Balloon Text"/>
    <w:basedOn w:val="a"/>
    <w:link w:val="Char1"/>
    <w:uiPriority w:val="99"/>
    <w:semiHidden/>
    <w:unhideWhenUsed/>
    <w:rsid w:val="00A1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14E18"/>
    <w:rPr>
      <w:rFonts w:ascii="Tahoma" w:hAnsi="Tahoma" w:cs="Tahoma"/>
      <w:sz w:val="16"/>
      <w:szCs w:val="16"/>
    </w:rPr>
  </w:style>
  <w:style w:type="paragraph" w:customStyle="1" w:styleId="02TITLE">
    <w:name w:val="02 TITLE"/>
    <w:basedOn w:val="a"/>
    <w:qFormat/>
    <w:rsid w:val="00003855"/>
    <w:pPr>
      <w:spacing w:after="240" w:line="240" w:lineRule="auto"/>
    </w:pPr>
    <w:rPr>
      <w:rFonts w:asciiTheme="majorHAnsi" w:hAnsiTheme="majorHAnsi"/>
      <w:b/>
      <w:color w:val="11275D"/>
      <w:sz w:val="28"/>
      <w:szCs w:val="28"/>
    </w:rPr>
  </w:style>
  <w:style w:type="paragraph" w:customStyle="1" w:styleId="04SUBSUB">
    <w:name w:val="04 SUBSUB"/>
    <w:basedOn w:val="a"/>
    <w:qFormat/>
    <w:rsid w:val="00003855"/>
    <w:pPr>
      <w:tabs>
        <w:tab w:val="left" w:pos="8262"/>
      </w:tabs>
      <w:spacing w:before="480" w:line="264" w:lineRule="auto"/>
      <w:ind w:left="2835" w:right="74"/>
      <w:contextualSpacing/>
      <w:jc w:val="both"/>
    </w:pPr>
    <w:rPr>
      <w:rFonts w:asciiTheme="majorHAnsi" w:hAnsiTheme="majorHAnsi" w:cstheme="majorHAnsi"/>
      <w:b/>
      <w:color w:val="11275D"/>
      <w:sz w:val="21"/>
      <w:szCs w:val="21"/>
      <w:lang w:val="en-GB"/>
    </w:rPr>
  </w:style>
  <w:style w:type="paragraph" w:styleId="a6">
    <w:name w:val="List Paragraph"/>
    <w:basedOn w:val="a"/>
    <w:uiPriority w:val="34"/>
    <w:qFormat/>
    <w:rsid w:val="00003855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table" w:styleId="a7">
    <w:name w:val="Table Grid"/>
    <w:basedOn w:val="a1"/>
    <w:uiPriority w:val="59"/>
    <w:rsid w:val="00653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5PLAINTEXT">
    <w:name w:val="05 PLAIN TEXT"/>
    <w:basedOn w:val="a"/>
    <w:qFormat/>
    <w:rsid w:val="00D72CD0"/>
    <w:pPr>
      <w:tabs>
        <w:tab w:val="left" w:pos="8262"/>
      </w:tabs>
      <w:spacing w:before="120" w:after="0" w:line="264" w:lineRule="auto"/>
      <w:ind w:left="2835" w:right="74"/>
      <w:contextualSpacing/>
      <w:jc w:val="both"/>
    </w:pPr>
    <w:rPr>
      <w:rFonts w:asciiTheme="majorHAnsi" w:hAnsiTheme="majorHAnsi" w:cstheme="majorHAnsi"/>
      <w:color w:val="0D0D0D" w:themeColor="text1" w:themeTint="F2"/>
      <w:sz w:val="19"/>
      <w:szCs w:val="19"/>
      <w:lang w:val="en-GB"/>
    </w:rPr>
  </w:style>
  <w:style w:type="paragraph" w:customStyle="1" w:styleId="a8">
    <w:name w:val="Τίτλος ενότητας"/>
    <w:qFormat/>
    <w:rsid w:val="00F168DB"/>
    <w:pPr>
      <w:pBdr>
        <w:bottom w:val="single" w:sz="6" w:space="11" w:color="E0CBA4"/>
      </w:pBdr>
      <w:spacing w:before="480" w:after="240" w:line="240" w:lineRule="auto"/>
      <w:ind w:left="2835"/>
    </w:pPr>
    <w:rPr>
      <w:rFonts w:asciiTheme="majorHAnsi" w:hAnsiTheme="majorHAnsi"/>
      <w:noProof/>
      <w:color w:val="000000" w:themeColor="text1"/>
      <w:sz w:val="32"/>
      <w:szCs w:val="32"/>
      <w:lang w:val="en-GB" w:eastAsia="en-GB"/>
    </w:rPr>
  </w:style>
  <w:style w:type="paragraph" w:styleId="a9">
    <w:name w:val="footnote text"/>
    <w:basedOn w:val="a"/>
    <w:link w:val="Char2"/>
    <w:uiPriority w:val="99"/>
    <w:unhideWhenUsed/>
    <w:rsid w:val="00F168DB"/>
    <w:pPr>
      <w:spacing w:after="0" w:line="240" w:lineRule="auto"/>
    </w:pPr>
    <w:rPr>
      <w:sz w:val="20"/>
      <w:szCs w:val="20"/>
      <w:lang w:val="en-US"/>
    </w:rPr>
  </w:style>
  <w:style w:type="character" w:customStyle="1" w:styleId="Char2">
    <w:name w:val="Κείμενο υποσημείωσης Char"/>
    <w:basedOn w:val="a0"/>
    <w:link w:val="a9"/>
    <w:uiPriority w:val="99"/>
    <w:rsid w:val="00F168DB"/>
    <w:rPr>
      <w:rFonts w:eastAsiaTheme="minorEastAsia"/>
      <w:sz w:val="20"/>
      <w:szCs w:val="20"/>
      <w:lang w:val="en-US"/>
    </w:rPr>
  </w:style>
  <w:style w:type="paragraph" w:customStyle="1" w:styleId="10TableB">
    <w:name w:val="10 Table B"/>
    <w:basedOn w:val="a"/>
    <w:qFormat/>
    <w:rsid w:val="00F168DB"/>
    <w:pPr>
      <w:spacing w:after="0" w:line="240" w:lineRule="auto"/>
    </w:pPr>
    <w:rPr>
      <w:rFonts w:asciiTheme="majorHAnsi" w:hAnsiTheme="majorHAnsi"/>
      <w:b/>
      <w:sz w:val="19"/>
      <w:szCs w:val="19"/>
      <w:lang w:val="en-US"/>
    </w:rPr>
  </w:style>
  <w:style w:type="paragraph" w:customStyle="1" w:styleId="11TableP">
    <w:name w:val="11 Table P"/>
    <w:basedOn w:val="a"/>
    <w:qFormat/>
    <w:rsid w:val="00F168DB"/>
    <w:pPr>
      <w:spacing w:after="0" w:line="240" w:lineRule="auto"/>
    </w:pPr>
    <w:rPr>
      <w:rFonts w:asciiTheme="majorHAnsi" w:hAnsiTheme="majorHAnsi"/>
      <w:sz w:val="19"/>
      <w:szCs w:val="19"/>
      <w:lang w:val="en-US"/>
    </w:rPr>
  </w:style>
  <w:style w:type="paragraph" w:styleId="Web">
    <w:name w:val="Normal (Web)"/>
    <w:basedOn w:val="a"/>
    <w:uiPriority w:val="99"/>
    <w:semiHidden/>
    <w:unhideWhenUsed/>
    <w:rsid w:val="008E00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footnote reference"/>
    <w:basedOn w:val="a0"/>
    <w:uiPriority w:val="99"/>
    <w:semiHidden/>
    <w:unhideWhenUsed/>
    <w:rsid w:val="004631DC"/>
    <w:rPr>
      <w:vertAlign w:val="superscript"/>
    </w:rPr>
  </w:style>
  <w:style w:type="paragraph" w:styleId="ab">
    <w:name w:val="No Spacing"/>
    <w:basedOn w:val="a"/>
    <w:link w:val="Char3"/>
    <w:uiPriority w:val="99"/>
    <w:qFormat/>
    <w:rsid w:val="00824F2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har3">
    <w:name w:val="Χωρίς διάστιχο Char"/>
    <w:basedOn w:val="a0"/>
    <w:link w:val="ab"/>
    <w:uiPriority w:val="99"/>
    <w:locked/>
    <w:rsid w:val="00824F28"/>
    <w:rPr>
      <w:rFonts w:ascii="Calibri" w:eastAsia="Times New Roman" w:hAnsi="Calibri" w:cs="Times New Roman"/>
      <w:sz w:val="20"/>
      <w:szCs w:val="20"/>
      <w:lang w:val="en-US" w:eastAsia="en-US"/>
    </w:rPr>
  </w:style>
  <w:style w:type="paragraph" w:styleId="ac">
    <w:name w:val="Revision"/>
    <w:hidden/>
    <w:uiPriority w:val="99"/>
    <w:semiHidden/>
    <w:rsid w:val="00740A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5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yperlink" Target="http://www.piraeusbankgroup.com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___Microsoft_Office_Excel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______________Microsoft_Office_Excel6.xlsx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>
        <c:manualLayout>
          <c:layoutTarget val="inner"/>
          <c:xMode val="edge"/>
          <c:yMode val="edge"/>
          <c:x val="2.9417416572928456E-2"/>
          <c:y val="0.15636995706662549"/>
          <c:w val="0.79489744259524964"/>
          <c:h val="0.71844953155690061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ΚΠΦΠ</c:v>
                </c:pt>
              </c:strCache>
            </c:strRef>
          </c:tx>
          <c:spPr>
            <a:solidFill>
              <a:srgbClr val="D1AA71"/>
            </a:solidFill>
            <a:ln w="12700">
              <a:noFill/>
              <a:prstDash val="solid"/>
            </a:ln>
            <a:effectLst>
              <a:innerShdw blurRad="50800" dist="25400" dir="13500000">
                <a:prstClr val="black">
                  <a:alpha val="50000"/>
                </a:prstClr>
              </a:innerShdw>
            </a:effectLst>
          </c:spPr>
          <c:dPt>
            <c:idx val="5"/>
            <c:spPr>
              <a:solidFill>
                <a:srgbClr val="3B73AF"/>
              </a:solidFill>
              <a:ln w="12700">
                <a:noFill/>
                <a:prstDash val="solid"/>
              </a:ln>
              <a:effectLst>
                <a:innerShdw blurRad="50800" dist="25400" dir="13500000">
                  <a:prstClr val="black">
                    <a:alpha val="50000"/>
                  </a:prstClr>
                </a:inn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5FB-43FB-9A63-B4D8738B44A1}"/>
              </c:ext>
            </c:extLst>
          </c:dPt>
          <c:dLbls>
            <c:dLbl>
              <c:idx val="0"/>
              <c:layout>
                <c:manualLayout>
                  <c:x val="-9.0722029487517366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5FB-43FB-9A63-B4D8738B44A1}"/>
                </c:ext>
              </c:extLst>
            </c:dLbl>
            <c:dLbl>
              <c:idx val="1"/>
              <c:numFmt formatCode="#,##0" sourceLinked="0"/>
              <c:spPr/>
              <c:txPr>
                <a:bodyPr/>
                <a:lstStyle/>
                <a:p>
                  <a:pPr algn="ctr">
                    <a:defRPr lang="en-GB" sz="800" b="0" i="0" u="none" strike="noStrike" kern="1200" baseline="0">
                      <a:solidFill>
                        <a:sysClr val="windowText" lastClr="000000"/>
                      </a:solidFill>
                      <a:latin typeface="+mj-lt"/>
                      <a:ea typeface="Arial"/>
                      <a:cs typeface="Arial"/>
                    </a:defRPr>
                  </a:pPr>
                  <a:endParaRPr lang="en-US"/>
                </a:p>
              </c:txPr>
            </c:dLbl>
            <c:dLbl>
              <c:idx val="2"/>
              <c:layout>
                <c:manualLayout>
                  <c:x val="0"/>
                  <c:y val="-2.6490066225165611E-2"/>
                </c:manualLayout>
              </c:layout>
              <c:tx>
                <c:rich>
                  <a:bodyPr/>
                  <a:lstStyle/>
                  <a:p>
                    <a:r>
                      <a:rPr lang="en-US" sz="800" b="0">
                        <a:solidFill>
                          <a:sysClr val="windowText" lastClr="000000"/>
                        </a:solidFill>
                      </a:rPr>
                      <a:t>275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5FB-43FB-9A63-B4D8738B44A1}"/>
                </c:ext>
              </c:extLst>
            </c:dLbl>
            <c:dLbl>
              <c:idx val="3"/>
              <c:layout>
                <c:manualLayout>
                  <c:x val="4.7425106344455026E-4"/>
                  <c:y val="1.7610679459769501E-2"/>
                </c:manualLayout>
              </c:layout>
              <c:tx>
                <c:rich>
                  <a:bodyPr/>
                  <a:lstStyle/>
                  <a:p>
                    <a:fld id="{0927FDF2-E5A6-49DC-9303-92F37D4722AD}" type="VALUE">
                      <a:rPr lang="en-US" sz="800">
                        <a:solidFill>
                          <a:sysClr val="windowText" lastClr="000000"/>
                        </a:solidFill>
                      </a:rPr>
                      <a:pPr/>
                      <a:t>[VALUE]</a:t>
                    </a:fld>
                    <a:endParaRPr lang="en-GB"/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D5FB-43FB-9A63-B4D8738B44A1}"/>
                </c:ext>
              </c:extLst>
            </c:dLbl>
            <c:dLbl>
              <c:idx val="4"/>
              <c:layout>
                <c:manualLayout>
                  <c:x val="-4.5361014743757824E-3"/>
                  <c:y val="2.7691509318084014E-2"/>
                </c:manualLayout>
              </c:layout>
              <c:numFmt formatCode="#,##0" sourceLinked="0"/>
              <c:spPr/>
              <c:txPr>
                <a:bodyPr/>
                <a:lstStyle/>
                <a:p>
                  <a:pPr algn="ctr">
                    <a:defRPr lang="en-GB" sz="800" b="0" i="0" u="none" strike="noStrike" kern="1200" baseline="0">
                      <a:solidFill>
                        <a:sysClr val="windowText" lastClr="000000"/>
                      </a:solidFill>
                      <a:latin typeface="+mj-lt"/>
                      <a:ea typeface="Arial"/>
                      <a:cs typeface="Arial"/>
                    </a:defRPr>
                  </a:pPr>
                  <a:endParaRPr lang="en-US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5FB-43FB-9A63-B4D8738B44A1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pPr algn="ctr">
                      <a:defRPr lang="en-GB" sz="800" b="1" i="0" u="none" strike="noStrike" kern="1200" baseline="0">
                        <a:solidFill>
                          <a:sysClr val="windowText" lastClr="000000"/>
                        </a:solidFill>
                        <a:latin typeface="+mj-lt"/>
                        <a:ea typeface="Arial"/>
                        <a:cs typeface="Arial"/>
                      </a:defRPr>
                    </a:pPr>
                    <a:fld id="{FA136590-D8D5-440A-AAD2-9753A2D3D763}" type="VALUE">
                      <a:rPr lang="en-US" sz="800" b="0">
                        <a:solidFill>
                          <a:sysClr val="windowText" lastClr="000000"/>
                        </a:solidFill>
                      </a:rPr>
                      <a:pPr algn="ctr">
                        <a:defRPr lang="en-GB" sz="800" b="1" i="0" u="none" strike="noStrike" kern="1200" baseline="0">
                          <a:solidFill>
                            <a:sysClr val="windowText" lastClr="000000"/>
                          </a:solidFill>
                          <a:latin typeface="+mj-lt"/>
                          <a:ea typeface="Arial"/>
                          <a:cs typeface="Arial"/>
                        </a:defRPr>
                      </a:pPr>
                      <a:t>[VALUE]</a:t>
                    </a:fld>
                    <a:endParaRPr lang="en-GB"/>
                  </a:p>
                </c:rich>
              </c:tx>
              <c:numFmt formatCode="#,##0" sourceLinked="0"/>
              <c:spPr>
                <a:noFill/>
                <a:ln>
                  <a:noFill/>
                </a:ln>
                <a:effectLst/>
              </c:sp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D5FB-43FB-9A63-B4D8738B44A1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en-GB" sz="800" b="0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Arial"/>
                    <a:cs typeface="Arial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Q1.15</c:v>
                </c:pt>
                <c:pt idx="1">
                  <c:v>Q1.16</c:v>
                </c:pt>
              </c:strCache>
            </c:strRef>
          </c:cat>
          <c:val>
            <c:numRef>
              <c:f>Sheet1!$B$2:$B$3</c:f>
              <c:numCache>
                <c:formatCode>#,##0</c:formatCode>
                <c:ptCount val="2"/>
                <c:pt idx="0">
                  <c:v>242</c:v>
                </c:pt>
                <c:pt idx="1">
                  <c:v>263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5FB-43FB-9A63-B4D8738B44A1}"/>
            </c:ext>
          </c:extLst>
        </c:ser>
        <c:gapWidth val="219"/>
        <c:overlap val="-24"/>
        <c:axId val="90004864"/>
        <c:axId val="47211648"/>
      </c:barChart>
      <c:catAx>
        <c:axId val="90004864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6350">
            <a:solidFill>
              <a:srgbClr val="FFC000"/>
            </a:solidFill>
            <a:prstDash val="dash"/>
          </a:ln>
        </c:spPr>
        <c:txPr>
          <a:bodyPr/>
          <a:lstStyle/>
          <a:p>
            <a:pPr algn="ctr">
              <a:defRPr lang="en-GB" sz="650" b="0" i="0" u="none" strike="noStrike" kern="1200" baseline="0">
                <a:solidFill>
                  <a:srgbClr val="404040"/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  <c:crossAx val="47211648"/>
        <c:crosses val="autoZero"/>
        <c:auto val="1"/>
        <c:lblAlgn val="ctr"/>
        <c:lblOffset val="100"/>
      </c:catAx>
      <c:valAx>
        <c:axId val="47211648"/>
        <c:scaling>
          <c:orientation val="minMax"/>
          <c:max val="400"/>
          <c:min val="10"/>
        </c:scaling>
        <c:delete val="1"/>
        <c:axPos val="l"/>
        <c:numFmt formatCode="#,##0" sourceLinked="1"/>
        <c:tickLblPos val="none"/>
        <c:crossAx val="90004864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</c:chart>
  <c:spPr>
    <a:noFill/>
    <a:ln w="0">
      <a:noFill/>
    </a:ln>
  </c:spPr>
  <c:txPr>
    <a:bodyPr/>
    <a:lstStyle/>
    <a:p>
      <a:pPr>
        <a:defRPr sz="700">
          <a:latin typeface="+mj-lt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5.8119233612861393E-2"/>
          <c:y val="6.0033758958576273E-2"/>
          <c:w val="0.85623818012253716"/>
          <c:h val="0.7372765928663445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Αγορά</c:v>
                </c:pt>
              </c:strCache>
            </c:strRef>
          </c:tx>
          <c:spPr>
            <a:ln w="9525">
              <a:solidFill>
                <a:srgbClr val="3B73AF"/>
              </a:solidFill>
              <a:prstDash val="sysDash"/>
            </a:ln>
            <a:effectLst>
              <a:innerShdw blurRad="38100" dist="12700" dir="13500000">
                <a:prstClr val="black">
                  <a:alpha val="50000"/>
                </a:prstClr>
              </a:innerShdw>
            </a:effectLst>
          </c:spPr>
          <c:marker>
            <c:symbol val="circle"/>
            <c:size val="5"/>
            <c:spPr>
              <a:solidFill>
                <a:srgbClr val="3A73AE"/>
              </a:solidFill>
              <a:ln w="6350">
                <a:solidFill>
                  <a:srgbClr val="3B73AF"/>
                </a:solidFill>
              </a:ln>
              <a:effectLst>
                <a:innerShdw blurRad="38100" dist="12700" dir="13500000">
                  <a:prstClr val="black">
                    <a:alpha val="50000"/>
                  </a:prstClr>
                </a:innerShdw>
              </a:effectLst>
            </c:spPr>
          </c:marker>
          <c:cat>
            <c:strRef>
              <c:f>Sheet1!$A$2:$A$15</c:f>
              <c:strCache>
                <c:ptCount val="14"/>
                <c:pt idx="0">
                  <c:v>Δεκ12</c:v>
                </c:pt>
                <c:pt idx="1">
                  <c:v>Μαρ13</c:v>
                </c:pt>
                <c:pt idx="2">
                  <c:v>Ιούν13</c:v>
                </c:pt>
                <c:pt idx="3">
                  <c:v>Σεπ13</c:v>
                </c:pt>
                <c:pt idx="4">
                  <c:v>Δεκ13</c:v>
                </c:pt>
                <c:pt idx="5">
                  <c:v>Μάρ14</c:v>
                </c:pt>
                <c:pt idx="6">
                  <c:v>Ιούν14</c:v>
                </c:pt>
                <c:pt idx="7">
                  <c:v>Σεπ14</c:v>
                </c:pt>
                <c:pt idx="8">
                  <c:v>Δεκ14</c:v>
                </c:pt>
                <c:pt idx="9">
                  <c:v>Μάρ15</c:v>
                </c:pt>
                <c:pt idx="10">
                  <c:v>Ιούν15</c:v>
                </c:pt>
                <c:pt idx="11">
                  <c:v>Σεπ15</c:v>
                </c:pt>
                <c:pt idx="12">
                  <c:v>Δεκ15</c:v>
                </c:pt>
                <c:pt idx="13">
                  <c:v>Μάρ16</c:v>
                </c:pt>
              </c:strCache>
            </c:strRef>
          </c:cat>
          <c:val>
            <c:numRef>
              <c:f>Sheet1!$B$2:$B$15</c:f>
              <c:numCache>
                <c:formatCode>0.00%</c:formatCode>
                <c:ptCount val="14"/>
                <c:pt idx="0">
                  <c:v>2.87E-2</c:v>
                </c:pt>
                <c:pt idx="1">
                  <c:v>2.93E-2</c:v>
                </c:pt>
                <c:pt idx="2">
                  <c:v>2.6700000000000002E-2</c:v>
                </c:pt>
                <c:pt idx="3">
                  <c:v>2.3199999999999991E-2</c:v>
                </c:pt>
                <c:pt idx="4">
                  <c:v>2.0199999999999999E-2</c:v>
                </c:pt>
                <c:pt idx="5">
                  <c:v>1.9000000000000006E-2</c:v>
                </c:pt>
                <c:pt idx="6">
                  <c:v>1.7399999999999999E-2</c:v>
                </c:pt>
                <c:pt idx="7">
                  <c:v>1.5200000000000003E-2</c:v>
                </c:pt>
                <c:pt idx="8">
                  <c:v>1.2999999999999998E-2</c:v>
                </c:pt>
                <c:pt idx="9">
                  <c:v>1.1299999999999998E-2</c:v>
                </c:pt>
                <c:pt idx="10">
                  <c:v>1.0100000000000001E-2</c:v>
                </c:pt>
                <c:pt idx="11">
                  <c:v>7.3000000000000018E-3</c:v>
                </c:pt>
                <c:pt idx="12">
                  <c:v>5.6000000000000017E-3</c:v>
                </c:pt>
                <c:pt idx="13">
                  <c:v>4.8000000000000004E-3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B938-4F2D-960E-CDD3376C224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Πειραιώς</c:v>
                </c:pt>
              </c:strCache>
            </c:strRef>
          </c:tx>
          <c:spPr>
            <a:ln w="12700">
              <a:solidFill>
                <a:srgbClr val="D1AA71"/>
              </a:solidFill>
              <a:prstDash val="solid"/>
            </a:ln>
            <a:effectLst>
              <a:innerShdw blurRad="38100" dist="12700" dir="13500000">
                <a:prstClr val="black">
                  <a:alpha val="50000"/>
                </a:prstClr>
              </a:innerShdw>
            </a:effectLst>
          </c:spPr>
          <c:marker>
            <c:symbol val="circle"/>
            <c:size val="5"/>
            <c:spPr>
              <a:solidFill>
                <a:srgbClr val="D1AA71"/>
              </a:solidFill>
              <a:ln w="6350" cap="rnd">
                <a:solidFill>
                  <a:srgbClr val="D1AA71"/>
                </a:solidFill>
              </a:ln>
              <a:effectLst>
                <a:innerShdw blurRad="38100" dist="12700" dir="13500000">
                  <a:prstClr val="black">
                    <a:alpha val="50000"/>
                  </a:prstClr>
                </a:innerShdw>
              </a:effectLst>
            </c:spPr>
          </c:marker>
          <c:dLbls>
            <c:dLbl>
              <c:idx val="0"/>
              <c:layout>
                <c:manualLayout>
                  <c:x val="-9.9368426023208861E-2"/>
                  <c:y val="-4.205788216340197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B938-4F2D-960E-CDD3376C2241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938-4F2D-960E-CDD3376C2241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938-4F2D-960E-CDD3376C2241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B938-4F2D-960E-CDD3376C2241}"/>
                </c:ext>
              </c:extLst>
            </c:dLbl>
            <c:dLbl>
              <c:idx val="4"/>
              <c:layout>
                <c:manualLayout>
                  <c:x val="-5.8170914542728734E-2"/>
                  <c:y val="-5.2889650019831327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B938-4F2D-960E-CDD3376C2241}"/>
                </c:ext>
              </c:extLst>
            </c:dLbl>
            <c:dLbl>
              <c:idx val="5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B938-4F2D-960E-CDD3376C2241}"/>
                </c:ext>
              </c:extLst>
            </c:dLbl>
            <c:dLbl>
              <c:idx val="6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B938-4F2D-960E-CDD3376C2241}"/>
                </c:ext>
              </c:extLst>
            </c:dLbl>
            <c:dLbl>
              <c:idx val="7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B938-4F2D-960E-CDD3376C2241}"/>
                </c:ext>
              </c:extLst>
            </c:dLbl>
            <c:dLbl>
              <c:idx val="8"/>
              <c:layout>
                <c:manualLayout>
                  <c:x val="-0.1238153061734755"/>
                  <c:y val="4.8618277861405594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6-B938-4F2D-960E-CDD3376C2241}"/>
                </c:ext>
              </c:extLst>
            </c:dLbl>
            <c:dLbl>
              <c:idx val="9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B938-4F2D-960E-CDD3376C2241}"/>
                </c:ext>
              </c:extLst>
            </c:dLbl>
            <c:dLbl>
              <c:idx val="1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B938-4F2D-960E-CDD3376C2241}"/>
                </c:ext>
              </c:extLst>
            </c:dLbl>
            <c:dLbl>
              <c:idx val="1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B938-4F2D-960E-CDD3376C2241}"/>
                </c:ext>
              </c:extLst>
            </c:dLbl>
            <c:dLbl>
              <c:idx val="12"/>
              <c:layout>
                <c:manualLayout>
                  <c:x val="-0.1229404195540026"/>
                  <c:y val="-7.6317998321275865E-2"/>
                </c:manualLayout>
              </c:layout>
              <c:tx>
                <c:rich>
                  <a:bodyPr/>
                  <a:lstStyle/>
                  <a:p>
                    <a:fld id="{294A1F16-4DEE-4437-85B9-962AF2735392}" type="VALUE">
                      <a:rPr lang="en-US" b="0"/>
                      <a:pPr/>
                      <a:t>[VALUE]</a:t>
                    </a:fld>
                    <a:endParaRPr lang="en-GB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A-B938-4F2D-960E-CDD3376C2241}"/>
                </c:ext>
              </c:extLst>
            </c:dLbl>
            <c:dLbl>
              <c:idx val="13"/>
              <c:layout>
                <c:manualLayout>
                  <c:x val="-1.6012466207840963E-2"/>
                  <c:y val="-4.8984925302923712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C-B938-4F2D-960E-CDD3376C22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lang="en-US" sz="700" b="0">
                    <a:solidFill>
                      <a:srgbClr val="D1AA71"/>
                    </a:solidFill>
                  </a:defRPr>
                </a:pPr>
                <a:endParaRPr lang="en-US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Sheet1!$A$2:$A$15</c:f>
              <c:strCache>
                <c:ptCount val="14"/>
                <c:pt idx="0">
                  <c:v>Δεκ12</c:v>
                </c:pt>
                <c:pt idx="1">
                  <c:v>Μαρ13</c:v>
                </c:pt>
                <c:pt idx="2">
                  <c:v>Ιούν13</c:v>
                </c:pt>
                <c:pt idx="3">
                  <c:v>Σεπ13</c:v>
                </c:pt>
                <c:pt idx="4">
                  <c:v>Δεκ13</c:v>
                </c:pt>
                <c:pt idx="5">
                  <c:v>Μάρ14</c:v>
                </c:pt>
                <c:pt idx="6">
                  <c:v>Ιούν14</c:v>
                </c:pt>
                <c:pt idx="7">
                  <c:v>Σεπ14</c:v>
                </c:pt>
                <c:pt idx="8">
                  <c:v>Δεκ14</c:v>
                </c:pt>
                <c:pt idx="9">
                  <c:v>Μάρ15</c:v>
                </c:pt>
                <c:pt idx="10">
                  <c:v>Ιούν15</c:v>
                </c:pt>
                <c:pt idx="11">
                  <c:v>Σεπ15</c:v>
                </c:pt>
                <c:pt idx="12">
                  <c:v>Δεκ15</c:v>
                </c:pt>
                <c:pt idx="13">
                  <c:v>Μάρ16</c:v>
                </c:pt>
              </c:strCache>
            </c:strRef>
          </c:cat>
          <c:val>
            <c:numRef>
              <c:f>Sheet1!$C$2:$C$15</c:f>
              <c:numCache>
                <c:formatCode>0.00%</c:formatCode>
                <c:ptCount val="14"/>
                <c:pt idx="0">
                  <c:v>2.9100000000000001E-2</c:v>
                </c:pt>
                <c:pt idx="1">
                  <c:v>2.9100000000000001E-2</c:v>
                </c:pt>
                <c:pt idx="2">
                  <c:v>2.7400000000000011E-2</c:v>
                </c:pt>
                <c:pt idx="3">
                  <c:v>2.3199999999999991E-2</c:v>
                </c:pt>
                <c:pt idx="4">
                  <c:v>2.0400000000000001E-2</c:v>
                </c:pt>
                <c:pt idx="5">
                  <c:v>1.9500000000000007E-2</c:v>
                </c:pt>
                <c:pt idx="6">
                  <c:v>1.6799999999999999E-2</c:v>
                </c:pt>
                <c:pt idx="7">
                  <c:v>1.5599999999999998E-2</c:v>
                </c:pt>
                <c:pt idx="8">
                  <c:v>1.2900000000000003E-2</c:v>
                </c:pt>
                <c:pt idx="9">
                  <c:v>1.1299999999999998E-2</c:v>
                </c:pt>
                <c:pt idx="10">
                  <c:v>1.0500000000000004E-2</c:v>
                </c:pt>
                <c:pt idx="11">
                  <c:v>7.3000000000000018E-3</c:v>
                </c:pt>
                <c:pt idx="12">
                  <c:v>6.1000000000000004E-3</c:v>
                </c:pt>
                <c:pt idx="13">
                  <c:v>5.7000000000000019E-3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B-B938-4F2D-960E-CDD3376C2241}"/>
            </c:ext>
          </c:extLst>
        </c:ser>
        <c:marker val="1"/>
        <c:axId val="52178944"/>
        <c:axId val="52180480"/>
      </c:lineChart>
      <c:dateAx>
        <c:axId val="52178944"/>
        <c:scaling>
          <c:orientation val="minMax"/>
        </c:scaling>
        <c:axPos val="b"/>
        <c:numFmt formatCode="General" sourceLinked="1"/>
        <c:tickLblPos val="nextTo"/>
        <c:spPr>
          <a:ln w="6350">
            <a:solidFill>
              <a:srgbClr val="FFC000"/>
            </a:solidFill>
            <a:prstDash val="dash"/>
          </a:ln>
        </c:spPr>
        <c:txPr>
          <a:bodyPr rot="0"/>
          <a:lstStyle/>
          <a:p>
            <a:pPr>
              <a:defRPr lang="en-US" sz="500">
                <a:solidFill>
                  <a:srgbClr val="595959"/>
                </a:solidFill>
                <a:latin typeface="+mn-lt"/>
              </a:defRPr>
            </a:pPr>
            <a:endParaRPr lang="en-US"/>
          </a:p>
        </c:txPr>
        <c:crossAx val="52180480"/>
        <c:crosses val="autoZero"/>
        <c:lblOffset val="100"/>
        <c:baseTimeUnit val="months"/>
        <c:majorUnit val="3"/>
        <c:majorTimeUnit val="months"/>
        <c:minorUnit val="1"/>
        <c:minorTimeUnit val="months"/>
      </c:dateAx>
      <c:valAx>
        <c:axId val="52180480"/>
        <c:scaling>
          <c:orientation val="minMax"/>
          <c:max val="3.0000000000000016E-2"/>
          <c:min val="2.0000000000000113E-3"/>
        </c:scaling>
        <c:delete val="1"/>
        <c:axPos val="l"/>
        <c:numFmt formatCode="0.00%" sourceLinked="1"/>
        <c:tickLblPos val="none"/>
        <c:crossAx val="52178944"/>
        <c:crosses val="autoZero"/>
        <c:crossBetween val="between"/>
        <c:majorUnit val="5.0000000000000114E-3"/>
        <c:minorUnit val="5.0000000000000034E-4"/>
      </c:valAx>
      <c:spPr>
        <a:noFill/>
      </c:spPr>
    </c:plotArea>
    <c:legend>
      <c:legendPos val="r"/>
      <c:layout>
        <c:manualLayout>
          <c:xMode val="edge"/>
          <c:yMode val="edge"/>
          <c:x val="0"/>
          <c:y val="0.59954803580048399"/>
          <c:w val="0.3765909171398556"/>
          <c:h val="0.16785089485836921"/>
        </c:manualLayout>
      </c:layout>
      <c:txPr>
        <a:bodyPr/>
        <a:lstStyle/>
        <a:p>
          <a:pPr>
            <a:defRPr lang="en-US" sz="650">
              <a:solidFill>
                <a:srgbClr val="595959"/>
              </a:solidFill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00"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>
        <c:manualLayout>
          <c:layoutTarget val="inner"/>
          <c:xMode val="edge"/>
          <c:yMode val="edge"/>
          <c:x val="1.7792371698218668E-2"/>
          <c:y val="7.6859580052493437E-2"/>
          <c:w val="0.91525593343385492"/>
          <c:h val="0.77184842519685271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Branches</c:v>
                </c:pt>
              </c:strCache>
            </c:strRef>
          </c:tx>
          <c:spPr>
            <a:ln w="6350">
              <a:solidFill>
                <a:srgbClr val="3B73AF"/>
              </a:solidFill>
            </a:ln>
            <a:effectLst>
              <a:innerShdw blurRad="38100" dist="12700" dir="13500000">
                <a:prstClr val="black">
                  <a:alpha val="50000"/>
                </a:prstClr>
              </a:innerShdw>
            </a:effectLst>
          </c:spPr>
          <c:marker>
            <c:symbol val="circle"/>
            <c:size val="5"/>
            <c:spPr>
              <a:solidFill>
                <a:srgbClr val="3A73AE"/>
              </a:solidFill>
              <a:ln w="6350">
                <a:solidFill>
                  <a:srgbClr val="3B73AF"/>
                </a:solidFill>
              </a:ln>
              <a:effectLst>
                <a:innerShdw blurRad="38100" dist="12700" dir="13500000">
                  <a:prstClr val="black">
                    <a:alpha val="50000"/>
                  </a:prstClr>
                </a:innerShdw>
              </a:effectLst>
            </c:spPr>
          </c:marker>
          <c:dLbls>
            <c:dLbl>
              <c:idx val="0"/>
              <c:layout>
                <c:manualLayout>
                  <c:x val="-6.6387446250069801E-2"/>
                  <c:y val="-7.8623359580052427E-2"/>
                </c:manualLayout>
              </c:layout>
              <c:tx>
                <c:rich>
                  <a:bodyPr/>
                  <a:lstStyle/>
                  <a:p>
                    <a:r>
                      <a:rPr lang="en-US" sz="700" b="0" i="0" dirty="0">
                        <a:solidFill>
                          <a:srgbClr val="3B73AF"/>
                        </a:solidFill>
                      </a:rPr>
                      <a:t>1,380</a:t>
                    </a:r>
                    <a:endParaRPr lang="en-US" dirty="0">
                      <a:solidFill>
                        <a:srgbClr val="3B73AF"/>
                      </a:solidFill>
                    </a:endParaRPr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8C7-44D9-88C5-E3DF9AEB7A6E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8C7-44D9-88C5-E3DF9AEB7A6E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8C7-44D9-88C5-E3DF9AEB7A6E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8C7-44D9-88C5-E3DF9AEB7A6E}"/>
                </c:ext>
              </c:extLst>
            </c:dLbl>
            <c:dLbl>
              <c:idx val="4"/>
              <c:layout>
                <c:manualLayout>
                  <c:x val="-7.1381208956909969E-2"/>
                  <c:y val="-7.12177104777167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1,063</a:t>
                    </a:r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58C7-44D9-88C5-E3DF9AEB7A6E}"/>
                </c:ext>
              </c:extLst>
            </c:dLbl>
            <c:dLbl>
              <c:idx val="5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8C7-44D9-88C5-E3DF9AEB7A6E}"/>
                </c:ext>
              </c:extLst>
            </c:dLbl>
            <c:dLbl>
              <c:idx val="6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8C7-44D9-88C5-E3DF9AEB7A6E}"/>
                </c:ext>
              </c:extLst>
            </c:dLbl>
            <c:dLbl>
              <c:idx val="7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8C7-44D9-88C5-E3DF9AEB7A6E}"/>
                </c:ext>
              </c:extLst>
            </c:dLbl>
            <c:dLbl>
              <c:idx val="8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8C7-44D9-88C5-E3DF9AEB7A6E}"/>
                </c:ext>
              </c:extLst>
            </c:dLbl>
            <c:dLbl>
              <c:idx val="9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8C7-44D9-88C5-E3DF9AEB7A6E}"/>
                </c:ext>
              </c:extLst>
            </c:dLbl>
            <c:dLbl>
              <c:idx val="1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8C7-44D9-88C5-E3DF9AEB7A6E}"/>
                </c:ext>
              </c:extLst>
            </c:dLbl>
            <c:dLbl>
              <c:idx val="1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8C7-44D9-88C5-E3DF9AEB7A6E}"/>
                </c:ext>
              </c:extLst>
            </c:dLbl>
            <c:dLbl>
              <c:idx val="12"/>
              <c:layout>
                <c:manualLayout>
                  <c:x val="-0.10680873401463116"/>
                  <c:y val="-0.1106043307086614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58C7-44D9-88C5-E3DF9AEB7A6E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700" b="0" i="0">
                    <a:solidFill>
                      <a:srgbClr val="3B73AF"/>
                    </a:solidFill>
                    <a:effectLst/>
                    <a:latin typeface="+mn-lt"/>
                  </a:defRPr>
                </a:pPr>
                <a:endParaRPr lang="en-US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Sheet1!$A$2:$A$15</c:f>
              <c:numCache>
                <c:formatCode>[$-408]mmm\-yy;@</c:formatCode>
                <c:ptCount val="14"/>
                <c:pt idx="0">
                  <c:v>41255</c:v>
                </c:pt>
                <c:pt idx="1">
                  <c:v>41334</c:v>
                </c:pt>
                <c:pt idx="2">
                  <c:v>41426</c:v>
                </c:pt>
                <c:pt idx="3">
                  <c:v>41518</c:v>
                </c:pt>
                <c:pt idx="4">
                  <c:v>41609</c:v>
                </c:pt>
                <c:pt idx="5">
                  <c:v>41699</c:v>
                </c:pt>
                <c:pt idx="6">
                  <c:v>41791</c:v>
                </c:pt>
                <c:pt idx="7">
                  <c:v>41883</c:v>
                </c:pt>
                <c:pt idx="8">
                  <c:v>42004</c:v>
                </c:pt>
                <c:pt idx="9">
                  <c:v>42094</c:v>
                </c:pt>
                <c:pt idx="10">
                  <c:v>42170</c:v>
                </c:pt>
                <c:pt idx="11">
                  <c:v>42262</c:v>
                </c:pt>
                <c:pt idx="12">
                  <c:v>42369</c:v>
                </c:pt>
                <c:pt idx="13">
                  <c:v>42460</c:v>
                </c:pt>
              </c:numCache>
            </c:numRef>
          </c:cat>
          <c:val>
            <c:numRef>
              <c:f>Sheet1!$B$2:$B$15</c:f>
              <c:numCache>
                <c:formatCode>0</c:formatCode>
                <c:ptCount val="14"/>
                <c:pt idx="0">
                  <c:v>1354</c:v>
                </c:pt>
                <c:pt idx="1">
                  <c:v>1306</c:v>
                </c:pt>
                <c:pt idx="2">
                  <c:v>1280</c:v>
                </c:pt>
                <c:pt idx="3">
                  <c:v>1218</c:v>
                </c:pt>
                <c:pt idx="4">
                  <c:v>1037</c:v>
                </c:pt>
                <c:pt idx="5">
                  <c:v>964</c:v>
                </c:pt>
                <c:pt idx="6">
                  <c:v>889</c:v>
                </c:pt>
                <c:pt idx="7">
                  <c:v>870</c:v>
                </c:pt>
                <c:pt idx="8">
                  <c:v>803</c:v>
                </c:pt>
                <c:pt idx="9">
                  <c:v>791</c:v>
                </c:pt>
                <c:pt idx="10">
                  <c:v>804</c:v>
                </c:pt>
                <c:pt idx="11">
                  <c:v>778</c:v>
                </c:pt>
                <c:pt idx="12">
                  <c:v>709</c:v>
                </c:pt>
                <c:pt idx="13">
                  <c:v>701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58C7-44D9-88C5-E3DF9AEB7A6E}"/>
            </c:ext>
          </c:extLst>
        </c:ser>
        <c:marker val="1"/>
        <c:axId val="52619520"/>
        <c:axId val="52834304"/>
      </c:lineChart>
      <c:lineChart>
        <c:grouping val="standard"/>
        <c:ser>
          <c:idx val="1"/>
          <c:order val="1"/>
          <c:tx>
            <c:strRef>
              <c:f>Sheet1!$C$1</c:f>
              <c:strCache>
                <c:ptCount val="1"/>
                <c:pt idx="0">
                  <c:v>Employees</c:v>
                </c:pt>
              </c:strCache>
            </c:strRef>
          </c:tx>
          <c:spPr>
            <a:ln w="6350">
              <a:solidFill>
                <a:srgbClr val="D1AA71"/>
              </a:solidFill>
              <a:prstDash val="solid"/>
            </a:ln>
            <a:effectLst>
              <a:innerShdw blurRad="38100" dist="12700" dir="13500000">
                <a:prstClr val="black">
                  <a:alpha val="50000"/>
                </a:prstClr>
              </a:innerShdw>
            </a:effectLst>
          </c:spPr>
          <c:marker>
            <c:symbol val="circle"/>
            <c:size val="5"/>
            <c:spPr>
              <a:solidFill>
                <a:srgbClr val="D1AA71"/>
              </a:solidFill>
              <a:ln w="6350">
                <a:solidFill>
                  <a:srgbClr val="D1AA71"/>
                </a:solidFill>
              </a:ln>
              <a:effectLst>
                <a:innerShdw blurRad="38100" dist="12700" dir="13500000">
                  <a:prstClr val="black">
                    <a:alpha val="50000"/>
                  </a:prstClr>
                </a:innerShdw>
              </a:effectLst>
            </c:spPr>
          </c:marker>
          <c:dLbls>
            <c:dLbl>
              <c:idx val="0"/>
              <c:layout>
                <c:manualLayout>
                  <c:x val="-5.7495628619282334E-2"/>
                  <c:y val="-7.3298687661969827E-2"/>
                </c:manualLayout>
              </c:layout>
              <c:tx>
                <c:rich>
                  <a:bodyPr/>
                  <a:lstStyle/>
                  <a:p>
                    <a:pPr>
                      <a:defRPr lang="en-US" sz="700" b="0">
                        <a:solidFill>
                          <a:srgbClr val="D1AA71"/>
                        </a:solidFill>
                      </a:defRPr>
                    </a:pPr>
                    <a:r>
                      <a:rPr lang="en-US"/>
                      <a:t>19,401</a:t>
                    </a:r>
                  </a:p>
                </c:rich>
              </c:tx>
              <c:numFmt formatCode="#,##0" sourceLinked="0"/>
              <c:spPr>
                <a:noFill/>
                <a:ln>
                  <a:noFill/>
                </a:ln>
                <a:effectLst/>
              </c:spPr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58C7-44D9-88C5-E3DF9AEB7A6E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8C7-44D9-88C5-E3DF9AEB7A6E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58C7-44D9-88C5-E3DF9AEB7A6E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8C7-44D9-88C5-E3DF9AEB7A6E}"/>
                </c:ext>
              </c:extLst>
            </c:dLbl>
            <c:dLbl>
              <c:idx val="4"/>
              <c:layout>
                <c:manualLayout>
                  <c:x val="-7.0966214329591992E-2"/>
                  <c:y val="-5.6677165354330705E-2"/>
                </c:manualLayout>
              </c:layout>
              <c:tx>
                <c:rich>
                  <a:bodyPr/>
                  <a:lstStyle/>
                  <a:p>
                    <a:pPr>
                      <a:defRPr lang="en-US" sz="700" b="0">
                        <a:solidFill>
                          <a:srgbClr val="D1AA71"/>
                        </a:solidFill>
                      </a:defRPr>
                    </a:pPr>
                    <a:r>
                      <a:rPr lang="en-US"/>
                      <a:t>16,721</a:t>
                    </a:r>
                  </a:p>
                </c:rich>
              </c:tx>
              <c:numFmt formatCode="#,##0" sourceLinked="0"/>
              <c:spPr>
                <a:noFill/>
                <a:ln>
                  <a:noFill/>
                </a:ln>
                <a:effectLst/>
              </c:spPr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58C7-44D9-88C5-E3DF9AEB7A6E}"/>
                </c:ext>
              </c:extLst>
            </c:dLbl>
            <c:dLbl>
              <c:idx val="5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58C7-44D9-88C5-E3DF9AEB7A6E}"/>
                </c:ext>
              </c:extLst>
            </c:dLbl>
            <c:dLbl>
              <c:idx val="6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58C7-44D9-88C5-E3DF9AEB7A6E}"/>
                </c:ext>
              </c:extLst>
            </c:dLbl>
            <c:dLbl>
              <c:idx val="7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58C7-44D9-88C5-E3DF9AEB7A6E}"/>
                </c:ext>
              </c:extLst>
            </c:dLbl>
            <c:dLbl>
              <c:idx val="8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58C7-44D9-88C5-E3DF9AEB7A6E}"/>
                </c:ext>
              </c:extLst>
            </c:dLbl>
            <c:dLbl>
              <c:idx val="9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58C7-44D9-88C5-E3DF9AEB7A6E}"/>
                </c:ext>
              </c:extLst>
            </c:dLbl>
            <c:dLbl>
              <c:idx val="1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58C7-44D9-88C5-E3DF9AEB7A6E}"/>
                </c:ext>
              </c:extLst>
            </c:dLbl>
            <c:dLbl>
              <c:idx val="1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58C7-44D9-88C5-E3DF9AEB7A6E}"/>
                </c:ext>
              </c:extLst>
            </c:dLbl>
            <c:dLbl>
              <c:idx val="12"/>
              <c:layout>
                <c:manualLayout>
                  <c:x val="-0.13599731948400082"/>
                  <c:y val="-6.0604330708661419E-2"/>
                </c:manualLayout>
              </c:layout>
              <c:numFmt formatCode="#,##0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lang="en-US" sz="700" b="0">
                      <a:solidFill>
                        <a:srgbClr val="D1AA71"/>
                      </a:solidFill>
                    </a:defRPr>
                  </a:pPr>
                  <a:endParaRPr lang="en-US"/>
                </a:p>
              </c:txPr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B-58C7-44D9-88C5-E3DF9AEB7A6E}"/>
                </c:ext>
              </c:extLst>
            </c:dLbl>
            <c:dLbl>
              <c:idx val="13"/>
              <c:layout>
                <c:manualLayout>
                  <c:x val="-8.0817557379796682E-3"/>
                  <c:y val="-6.8937664041994737E-2"/>
                </c:manualLayout>
              </c:layout>
              <c:numFmt formatCode="#,##0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lang="en-US" sz="700" b="0">
                      <a:solidFill>
                        <a:srgbClr val="D1AA71"/>
                      </a:solidFill>
                    </a:defRPr>
                  </a:pPr>
                  <a:endParaRPr lang="en-US"/>
                </a:p>
              </c:txPr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150-4E2F-A575-999C2A63E124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700" b="1">
                    <a:solidFill>
                      <a:srgbClr val="D1AA71"/>
                    </a:solidFill>
                  </a:defRPr>
                </a:pPr>
                <a:endParaRPr lang="en-US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Sheet1!$A$2:$A$15</c:f>
              <c:numCache>
                <c:formatCode>[$-408]mmm\-yy;@</c:formatCode>
                <c:ptCount val="14"/>
                <c:pt idx="0">
                  <c:v>41255</c:v>
                </c:pt>
                <c:pt idx="1">
                  <c:v>41334</c:v>
                </c:pt>
                <c:pt idx="2">
                  <c:v>41426</c:v>
                </c:pt>
                <c:pt idx="3">
                  <c:v>41518</c:v>
                </c:pt>
                <c:pt idx="4">
                  <c:v>41609</c:v>
                </c:pt>
                <c:pt idx="5">
                  <c:v>41699</c:v>
                </c:pt>
                <c:pt idx="6">
                  <c:v>41791</c:v>
                </c:pt>
                <c:pt idx="7">
                  <c:v>41883</c:v>
                </c:pt>
                <c:pt idx="8">
                  <c:v>42004</c:v>
                </c:pt>
                <c:pt idx="9">
                  <c:v>42094</c:v>
                </c:pt>
                <c:pt idx="10">
                  <c:v>42170</c:v>
                </c:pt>
                <c:pt idx="11">
                  <c:v>42262</c:v>
                </c:pt>
                <c:pt idx="12">
                  <c:v>42369</c:v>
                </c:pt>
                <c:pt idx="13">
                  <c:v>42460</c:v>
                </c:pt>
              </c:numCache>
            </c:numRef>
          </c:cat>
          <c:val>
            <c:numRef>
              <c:f>Sheet1!$C$2:$C$15</c:f>
              <c:numCache>
                <c:formatCode>0</c:formatCode>
                <c:ptCount val="14"/>
                <c:pt idx="0">
                  <c:v>19238</c:v>
                </c:pt>
                <c:pt idx="1">
                  <c:v>18624</c:v>
                </c:pt>
                <c:pt idx="2">
                  <c:v>18591</c:v>
                </c:pt>
                <c:pt idx="3">
                  <c:v>18440</c:v>
                </c:pt>
                <c:pt idx="4">
                  <c:v>16558</c:v>
                </c:pt>
                <c:pt idx="5">
                  <c:v>16454</c:v>
                </c:pt>
                <c:pt idx="6">
                  <c:v>16541</c:v>
                </c:pt>
                <c:pt idx="7">
                  <c:v>16528</c:v>
                </c:pt>
                <c:pt idx="8">
                  <c:v>15539</c:v>
                </c:pt>
                <c:pt idx="9">
                  <c:v>15499</c:v>
                </c:pt>
                <c:pt idx="10">
                  <c:v>15743</c:v>
                </c:pt>
                <c:pt idx="11">
                  <c:v>15715</c:v>
                </c:pt>
                <c:pt idx="12">
                  <c:v>15599</c:v>
                </c:pt>
                <c:pt idx="13">
                  <c:v>15627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A-58C7-44D9-88C5-E3DF9AEB7A6E}"/>
            </c:ext>
          </c:extLst>
        </c:ser>
        <c:marker val="1"/>
        <c:axId val="52837376"/>
        <c:axId val="52835840"/>
      </c:lineChart>
      <c:catAx>
        <c:axId val="52619520"/>
        <c:scaling>
          <c:orientation val="minMax"/>
        </c:scaling>
        <c:axPos val="b"/>
        <c:numFmt formatCode="[$-408]mmm\-yy;@" sourceLinked="1"/>
        <c:tickLblPos val="nextTo"/>
        <c:spPr>
          <a:ln w="6350">
            <a:solidFill>
              <a:srgbClr val="FFC000"/>
            </a:solidFill>
            <a:prstDash val="dash"/>
          </a:ln>
        </c:spPr>
        <c:txPr>
          <a:bodyPr/>
          <a:lstStyle/>
          <a:p>
            <a:pPr>
              <a:defRPr lang="en-US" sz="370">
                <a:solidFill>
                  <a:srgbClr val="595959"/>
                </a:solidFill>
                <a:latin typeface="+mj-lt"/>
              </a:defRPr>
            </a:pPr>
            <a:endParaRPr lang="en-US"/>
          </a:p>
        </c:txPr>
        <c:crossAx val="52834304"/>
        <c:crosses val="autoZero"/>
        <c:lblAlgn val="ctr"/>
        <c:lblOffset val="100"/>
        <c:noMultiLvlLbl val="1"/>
      </c:catAx>
      <c:valAx>
        <c:axId val="52834304"/>
        <c:scaling>
          <c:orientation val="minMax"/>
          <c:max val="1900"/>
          <c:min val="700"/>
        </c:scaling>
        <c:axPos val="l"/>
        <c:numFmt formatCode="0" sourceLinked="1"/>
        <c:majorTickMark val="none"/>
        <c:tickLblPos val="none"/>
        <c:spPr>
          <a:ln>
            <a:noFill/>
          </a:ln>
        </c:spPr>
        <c:txPr>
          <a:bodyPr/>
          <a:lstStyle/>
          <a:p>
            <a:pPr>
              <a:defRPr lang="en-US" sz="300">
                <a:solidFill>
                  <a:schemeClr val="bg1"/>
                </a:solidFill>
              </a:defRPr>
            </a:pPr>
            <a:endParaRPr lang="en-US"/>
          </a:p>
        </c:txPr>
        <c:crossAx val="52619520"/>
        <c:crosses val="autoZero"/>
        <c:crossBetween val="between"/>
        <c:majorUnit val="100"/>
      </c:valAx>
      <c:valAx>
        <c:axId val="52835840"/>
        <c:scaling>
          <c:orientation val="minMax"/>
          <c:max val="19500"/>
          <c:min val="10000"/>
        </c:scaling>
        <c:axPos val="r"/>
        <c:numFmt formatCode="0" sourceLinked="1"/>
        <c:majorTickMark val="none"/>
        <c:tickLblPos val="none"/>
        <c:spPr>
          <a:ln>
            <a:noFill/>
          </a:ln>
        </c:spPr>
        <c:txPr>
          <a:bodyPr/>
          <a:lstStyle/>
          <a:p>
            <a:pPr>
              <a:defRPr lang="en-US" sz="300">
                <a:solidFill>
                  <a:schemeClr val="bg1"/>
                </a:solidFill>
              </a:defRPr>
            </a:pPr>
            <a:endParaRPr lang="en-US"/>
          </a:p>
        </c:txPr>
        <c:crossAx val="52837376"/>
        <c:crosses val="max"/>
        <c:crossBetween val="between"/>
        <c:majorUnit val="1000"/>
        <c:minorUnit val="1"/>
      </c:valAx>
      <c:dateAx>
        <c:axId val="52837376"/>
        <c:scaling>
          <c:orientation val="minMax"/>
        </c:scaling>
        <c:delete val="1"/>
        <c:axPos val="t"/>
        <c:numFmt formatCode="[$-408]mmm\-yy;@" sourceLinked="1"/>
        <c:tickLblPos val="none"/>
        <c:crossAx val="52835840"/>
        <c:crosses val="max"/>
        <c:auto val="1"/>
        <c:lblOffset val="100"/>
        <c:baseTimeUnit val="months"/>
      </c:dateAx>
      <c:spPr>
        <a:noFill/>
      </c:spPr>
    </c:plotArea>
    <c:legend>
      <c:legendPos val="b"/>
      <c:layout>
        <c:manualLayout>
          <c:xMode val="edge"/>
          <c:yMode val="edge"/>
          <c:x val="1.7168647383804952E-2"/>
          <c:y val="0.70795209973753259"/>
          <c:w val="0.3982867035237635"/>
          <c:h val="0.1520977690288714"/>
        </c:manualLayout>
      </c:layout>
      <c:txPr>
        <a:bodyPr/>
        <a:lstStyle/>
        <a:p>
          <a:pPr>
            <a:defRPr lang="en-US" sz="650">
              <a:solidFill>
                <a:schemeClr val="tx1">
                  <a:lumMod val="60000"/>
                  <a:lumOff val="40000"/>
                </a:schemeClr>
              </a:solidFill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00"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6.8777383902709419E-2"/>
          <c:y val="3.2820486255007594E-2"/>
          <c:w val="0.90352827476768749"/>
          <c:h val="0.80053330685295232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D1AA71"/>
            </a:solidFill>
            <a:ln w="15875">
              <a:noFill/>
            </a:ln>
            <a:effectLst>
              <a:innerShdw blurRad="50800" dist="25400" dir="13500000">
                <a:prstClr val="black">
                  <a:alpha val="50000"/>
                </a:prstClr>
              </a:innerShdw>
            </a:effectLst>
          </c:spPr>
          <c:dPt>
            <c:idx val="5"/>
            <c:spPr>
              <a:solidFill>
                <a:srgbClr val="3B73AF"/>
              </a:solidFill>
              <a:ln w="15875">
                <a:noFill/>
              </a:ln>
              <a:effectLst>
                <a:innerShdw blurRad="50800" dist="25400" dir="13500000">
                  <a:prstClr val="black">
                    <a:alpha val="50000"/>
                  </a:prstClr>
                </a:inn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595-4889-A612-8F4A8D775BA9}"/>
              </c:ext>
            </c:extLst>
          </c:dPt>
          <c:dLbls>
            <c:dLbl>
              <c:idx val="0"/>
              <c:layout>
                <c:manualLayout>
                  <c:x val="-1.5216734352215281E-17"/>
                  <c:y val="1.461988304093560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6595-4889-A612-8F4A8D775BA9}"/>
                </c:ext>
              </c:extLst>
            </c:dLbl>
            <c:dLbl>
              <c:idx val="1"/>
              <c:layout>
                <c:manualLayout>
                  <c:x val="6.6401062416998674E-3"/>
                  <c:y val="2.192982456140344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6595-4889-A612-8F4A8D775BA9}"/>
                </c:ext>
              </c:extLst>
            </c:dLbl>
            <c:dLbl>
              <c:idx val="2"/>
              <c:layout>
                <c:manualLayout>
                  <c:x val="0"/>
                  <c:y val="2.1929824561403542E-2"/>
                </c:manualLayout>
              </c:layout>
              <c:numFmt formatCode="#,##0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lang="en-US" sz="700" b="0">
                      <a:solidFill>
                        <a:sysClr val="windowText" lastClr="000000"/>
                      </a:solidFill>
                      <a:latin typeface="+mn-lt"/>
                    </a:defRPr>
                  </a:pPr>
                  <a:endParaRPr lang="en-US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595-4889-A612-8F4A8D775BA9}"/>
                </c:ext>
              </c:extLst>
            </c:dLbl>
            <c:dLbl>
              <c:idx val="3"/>
              <c:layout>
                <c:manualLayout>
                  <c:x val="6.1150665699395293E-3"/>
                  <c:y val="2.29111661487418E-2"/>
                </c:manualLayout>
              </c:layout>
              <c:tx>
                <c:rich>
                  <a:bodyPr/>
                  <a:lstStyle/>
                  <a:p>
                    <a:pPr>
                      <a:defRPr lang="en-US" sz="700" b="0">
                        <a:solidFill>
                          <a:sysClr val="windowText" lastClr="000000"/>
                        </a:solidFill>
                        <a:latin typeface="+mn-lt"/>
                      </a:defRPr>
                    </a:pPr>
                    <a:r>
                      <a:rPr lang="en-US" sz="700" b="0">
                        <a:solidFill>
                          <a:sysClr val="windowText" lastClr="000000"/>
                        </a:solidFill>
                      </a:rPr>
                      <a:t>244</a:t>
                    </a:r>
                  </a:p>
                </c:rich>
              </c:tx>
              <c:numFmt formatCode="#,##0" sourceLinked="0"/>
              <c:spPr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595-4889-A612-8F4A8D775BA9}"/>
                </c:ext>
              </c:extLst>
            </c:dLbl>
            <c:dLbl>
              <c:idx val="4"/>
              <c:layout>
                <c:manualLayout>
                  <c:x val="0"/>
                  <c:y val="5.4220196159683923E-4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595-4889-A612-8F4A8D775BA9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6222B430-F97A-4631-9F5D-D22F11217D97}" type="VALUE">
                      <a:rPr lang="en-US" sz="700" b="0">
                        <a:solidFill>
                          <a:sysClr val="windowText" lastClr="000000"/>
                        </a:solidFill>
                      </a:rPr>
                      <a:pPr/>
                      <a:t>[VALUE]</a:t>
                    </a:fld>
                    <a:endParaRPr lang="en-GB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6595-4889-A612-8F4A8D775BA9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700" b="0">
                    <a:solidFill>
                      <a:sysClr val="windowText" lastClr="000000"/>
                    </a:solidFill>
                    <a:latin typeface="+mn-lt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Sheet1!$A$2:$A$7</c:f>
              <c:strCache>
                <c:ptCount val="6"/>
                <c:pt idx="0">
                  <c:v>Q4.14</c:v>
                </c:pt>
                <c:pt idx="1">
                  <c:v>Q1.15</c:v>
                </c:pt>
                <c:pt idx="2">
                  <c:v>Q2.15</c:v>
                </c:pt>
                <c:pt idx="3">
                  <c:v>Q3.15</c:v>
                </c:pt>
                <c:pt idx="4">
                  <c:v>Q4.15</c:v>
                </c:pt>
                <c:pt idx="5">
                  <c:v>Q1.16</c:v>
                </c:pt>
              </c:strCache>
            </c:strRef>
          </c:cat>
          <c:val>
            <c:numRef>
              <c:f>Sheet1!$B$2:$B$7</c:f>
              <c:numCache>
                <c:formatCode>0.0</c:formatCode>
                <c:ptCount val="6"/>
                <c:pt idx="0">
                  <c:v>502</c:v>
                </c:pt>
                <c:pt idx="1">
                  <c:v>271</c:v>
                </c:pt>
                <c:pt idx="2">
                  <c:v>1588</c:v>
                </c:pt>
                <c:pt idx="3">
                  <c:v>253</c:v>
                </c:pt>
                <c:pt idx="4">
                  <c:v>1384</c:v>
                </c:pt>
                <c:pt idx="5">
                  <c:v>289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595-4889-A612-8F4A8D775BA9}"/>
            </c:ext>
          </c:extLst>
        </c:ser>
        <c:axId val="51577216"/>
        <c:axId val="51578752"/>
      </c:barChart>
      <c:catAx>
        <c:axId val="51577216"/>
        <c:scaling>
          <c:orientation val="minMax"/>
        </c:scaling>
        <c:axPos val="b"/>
        <c:numFmt formatCode="General" sourceLinked="1"/>
        <c:majorTickMark val="none"/>
        <c:tickLblPos val="nextTo"/>
        <c:spPr>
          <a:ln>
            <a:solidFill>
              <a:srgbClr val="FFC000"/>
            </a:solidFill>
            <a:prstDash val="dash"/>
          </a:ln>
        </c:spPr>
        <c:txPr>
          <a:bodyPr rot="0" vert="horz"/>
          <a:lstStyle/>
          <a:p>
            <a:pPr>
              <a:defRPr lang="el-GR" sz="600">
                <a:solidFill>
                  <a:srgbClr val="595959"/>
                </a:solidFill>
                <a:latin typeface="+mn-lt"/>
              </a:defRPr>
            </a:pPr>
            <a:endParaRPr lang="en-US"/>
          </a:p>
        </c:txPr>
        <c:crossAx val="51578752"/>
        <c:crosses val="autoZero"/>
        <c:auto val="1"/>
        <c:lblAlgn val="ctr"/>
        <c:lblOffset val="100"/>
      </c:catAx>
      <c:valAx>
        <c:axId val="51578752"/>
        <c:scaling>
          <c:orientation val="minMax"/>
          <c:max val="1900"/>
          <c:min val="0"/>
        </c:scaling>
        <c:delete val="1"/>
        <c:axPos val="l"/>
        <c:numFmt formatCode="0.0" sourceLinked="1"/>
        <c:tickLblPos val="none"/>
        <c:crossAx val="51577216"/>
        <c:crosses val="autoZero"/>
        <c:crossBetween val="between"/>
        <c:majorUnit val="1000"/>
      </c:valAx>
      <c:spPr>
        <a:noFill/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/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5.5497171419309724E-2"/>
          <c:y val="3.2820486255007594E-2"/>
          <c:w val="0.90352827476768749"/>
          <c:h val="0.80053330685295032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D1AA71"/>
            </a:solidFill>
            <a:ln w="15875">
              <a:noFill/>
            </a:ln>
            <a:effectLst>
              <a:innerShdw blurRad="50800" dist="25400" dir="13500000">
                <a:prstClr val="black">
                  <a:alpha val="50000"/>
                </a:prstClr>
              </a:innerShdw>
            </a:effectLst>
          </c:spPr>
          <c:dPt>
            <c:idx val="5"/>
            <c:spPr>
              <a:solidFill>
                <a:srgbClr val="3B73AF"/>
              </a:solidFill>
              <a:ln w="15875">
                <a:noFill/>
              </a:ln>
              <a:effectLst>
                <a:innerShdw blurRad="50800" dist="25400" dir="13500000">
                  <a:prstClr val="black">
                    <a:alpha val="50000"/>
                  </a:prstClr>
                </a:inn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D0E-4942-A72D-A456221968E4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52.7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D0E-4942-A72D-A456221968E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44.4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D0E-4942-A72D-A456221968E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37.9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4D0E-4942-A72D-A456221968E4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37.1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4D0E-4942-A72D-A456221968E4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lang="en-US" sz="700" b="0">
                      <a:solidFill>
                        <a:sysClr val="windowText" lastClr="000000"/>
                      </a:solidFill>
                    </a:defRPr>
                  </a:pPr>
                  <a:endParaRPr lang="en-US"/>
                </a:p>
              </c:txPr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lang="en-US" sz="700" b="1">
                      <a:solidFill>
                        <a:sysClr val="windowText" lastClr="000000"/>
                      </a:solidFill>
                    </a:defRPr>
                  </a:pPr>
                  <a:endParaRPr lang="en-US"/>
                </a:p>
              </c:txPr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700" b="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Sheet1!$A$2:$A$7</c:f>
              <c:strCache>
                <c:ptCount val="6"/>
                <c:pt idx="0">
                  <c:v>Δεκ.14</c:v>
                </c:pt>
                <c:pt idx="1">
                  <c:v>Μαρ.15</c:v>
                </c:pt>
                <c:pt idx="2">
                  <c:v>Ιουν.15</c:v>
                </c:pt>
                <c:pt idx="3">
                  <c:v>Σεπ.15</c:v>
                </c:pt>
                <c:pt idx="4">
                  <c:v>Δεκ.15</c:v>
                </c:pt>
                <c:pt idx="5">
                  <c:v>Μαρ.16</c:v>
                </c:pt>
              </c:strCache>
            </c:strRef>
          </c:cat>
          <c:val>
            <c:numRef>
              <c:f>Sheet1!$B$2:$B$7</c:f>
              <c:numCache>
                <c:formatCode>0.0</c:formatCode>
                <c:ptCount val="6"/>
                <c:pt idx="0">
                  <c:v>52.7</c:v>
                </c:pt>
                <c:pt idx="1">
                  <c:v>44.4</c:v>
                </c:pt>
                <c:pt idx="2">
                  <c:v>37.9</c:v>
                </c:pt>
                <c:pt idx="3">
                  <c:v>37.1</c:v>
                </c:pt>
                <c:pt idx="4">
                  <c:v>39</c:v>
                </c:pt>
                <c:pt idx="5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D0E-4942-A72D-A456221968E4}"/>
            </c:ext>
          </c:extLst>
        </c:ser>
        <c:axId val="52925568"/>
        <c:axId val="52927104"/>
      </c:barChart>
      <c:catAx>
        <c:axId val="52925568"/>
        <c:scaling>
          <c:orientation val="minMax"/>
        </c:scaling>
        <c:axPos val="b"/>
        <c:numFmt formatCode="General" sourceLinked="1"/>
        <c:majorTickMark val="none"/>
        <c:tickLblPos val="nextTo"/>
        <c:spPr>
          <a:ln>
            <a:solidFill>
              <a:srgbClr val="FFC000"/>
            </a:solidFill>
            <a:prstDash val="dash"/>
          </a:ln>
        </c:spPr>
        <c:txPr>
          <a:bodyPr rot="0" vert="horz"/>
          <a:lstStyle/>
          <a:p>
            <a:pPr>
              <a:defRPr lang="el-GR" sz="600">
                <a:solidFill>
                  <a:srgbClr val="595959"/>
                </a:solidFill>
                <a:latin typeface="+mn-lt"/>
              </a:defRPr>
            </a:pPr>
            <a:endParaRPr lang="en-US"/>
          </a:p>
        </c:txPr>
        <c:crossAx val="52927104"/>
        <c:crosses val="autoZero"/>
        <c:auto val="1"/>
        <c:lblAlgn val="ctr"/>
        <c:lblOffset val="100"/>
      </c:catAx>
      <c:valAx>
        <c:axId val="52927104"/>
        <c:scaling>
          <c:orientation val="minMax"/>
          <c:max val="60"/>
          <c:min val="0"/>
        </c:scaling>
        <c:delete val="1"/>
        <c:axPos val="l"/>
        <c:numFmt formatCode="0.0" sourceLinked="1"/>
        <c:tickLblPos val="none"/>
        <c:crossAx val="52925568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/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2.0223765366274005E-2"/>
          <c:y val="0.27457577977171482"/>
          <c:w val="0.93641455029388965"/>
          <c:h val="0.65277726912043033"/>
        </c:manualLayout>
      </c:layout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ELA</c:v>
                </c:pt>
              </c:strCache>
            </c:strRef>
          </c:tx>
          <c:spPr>
            <a:solidFill>
              <a:srgbClr val="D1AA71"/>
            </a:solidFill>
            <a:ln w="15875">
              <a:noFill/>
            </a:ln>
            <a:effectLst>
              <a:innerShdw blurRad="50800" dist="25400" dir="13500000">
                <a:prstClr val="black">
                  <a:alpha val="50000"/>
                </a:prstClr>
              </a:innerShdw>
            </a:effectLst>
          </c:spPr>
          <c:dLbls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EF6-4E82-B576-E9135E5B4B35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EF6-4E82-B576-E9135E5B4B35}"/>
                </c:ext>
              </c:extLst>
            </c:dLbl>
            <c:dLbl>
              <c:idx val="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EF6-4E82-B576-E9135E5B4B35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700" b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Sheet1!$A$2:$A$16</c:f>
              <c:strCache>
                <c:ptCount val="11"/>
                <c:pt idx="0">
                  <c:v>Δεκ12</c:v>
                </c:pt>
                <c:pt idx="1">
                  <c:v>Δεκ13</c:v>
                </c:pt>
                <c:pt idx="2">
                  <c:v>Μαρ14</c:v>
                </c:pt>
                <c:pt idx="3">
                  <c:v>Ιούν14</c:v>
                </c:pt>
                <c:pt idx="4">
                  <c:v>Σεπ14</c:v>
                </c:pt>
                <c:pt idx="5">
                  <c:v>Δεκ14</c:v>
                </c:pt>
                <c:pt idx="6">
                  <c:v>Μάρ15</c:v>
                </c:pt>
                <c:pt idx="7">
                  <c:v>Ιούν15</c:v>
                </c:pt>
                <c:pt idx="8">
                  <c:v>Σεπ15</c:v>
                </c:pt>
                <c:pt idx="9">
                  <c:v>Δεκ15</c:v>
                </c:pt>
                <c:pt idx="10">
                  <c:v>Μαρ.16</c:v>
                </c:pt>
              </c:strCache>
            </c:strRef>
          </c:cat>
          <c:val>
            <c:numRef>
              <c:f>Sheet1!$B$2:$B$16</c:f>
              <c:numCache>
                <c:formatCode>0.0</c:formatCode>
                <c:ptCount val="11"/>
                <c:pt idx="0">
                  <c:v>31</c:v>
                </c:pt>
                <c:pt idx="1">
                  <c:v>0.75000000000000022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6">
                  <c:v>15.4</c:v>
                </c:pt>
                <c:pt idx="7">
                  <c:v>22.2</c:v>
                </c:pt>
                <c:pt idx="8">
                  <c:v>21.2</c:v>
                </c:pt>
                <c:pt idx="9">
                  <c:v>16.7</c:v>
                </c:pt>
                <c:pt idx="10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EF6-4E82-B576-E9135E5B4B3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ΕΚΤ</c:v>
                </c:pt>
              </c:strCache>
            </c:strRef>
          </c:tx>
          <c:spPr>
            <a:solidFill>
              <a:srgbClr val="DCDCD7"/>
            </a:solidFill>
            <a:ln w="15875">
              <a:noFill/>
            </a:ln>
            <a:effectLst>
              <a:innerShdw blurRad="50800" dist="25400" dir="13500000">
                <a:prstClr val="black">
                  <a:alpha val="50000"/>
                </a:prstClr>
              </a:innerShdw>
            </a:effectLst>
          </c:spPr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lang="en-US" sz="700">
                    <a:solidFill>
                      <a:srgbClr val="000000"/>
                    </a:solidFill>
                    <a:latin typeface="+mj-lt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Sheet1!$A$2:$A$16</c:f>
              <c:strCache>
                <c:ptCount val="11"/>
                <c:pt idx="0">
                  <c:v>Δεκ12</c:v>
                </c:pt>
                <c:pt idx="1">
                  <c:v>Δεκ13</c:v>
                </c:pt>
                <c:pt idx="2">
                  <c:v>Μαρ14</c:v>
                </c:pt>
                <c:pt idx="3">
                  <c:v>Ιούν14</c:v>
                </c:pt>
                <c:pt idx="4">
                  <c:v>Σεπ14</c:v>
                </c:pt>
                <c:pt idx="5">
                  <c:v>Δεκ14</c:v>
                </c:pt>
                <c:pt idx="6">
                  <c:v>Μάρ15</c:v>
                </c:pt>
                <c:pt idx="7">
                  <c:v>Ιούν15</c:v>
                </c:pt>
                <c:pt idx="8">
                  <c:v>Σεπ15</c:v>
                </c:pt>
                <c:pt idx="9">
                  <c:v>Δεκ15</c:v>
                </c:pt>
                <c:pt idx="10">
                  <c:v>Μαρ.16</c:v>
                </c:pt>
              </c:strCache>
            </c:strRef>
          </c:cat>
          <c:val>
            <c:numRef>
              <c:f>Sheet1!$C$2:$C$16</c:f>
              <c:numCache>
                <c:formatCode>0.00</c:formatCode>
                <c:ptCount val="11"/>
                <c:pt idx="0">
                  <c:v>1</c:v>
                </c:pt>
                <c:pt idx="1">
                  <c:v>9.6500000000000021</c:v>
                </c:pt>
                <c:pt idx="2">
                  <c:v>8.197000000000001</c:v>
                </c:pt>
                <c:pt idx="3">
                  <c:v>5.9</c:v>
                </c:pt>
                <c:pt idx="4" formatCode="0.0">
                  <c:v>4.5999999999999996</c:v>
                </c:pt>
                <c:pt idx="5">
                  <c:v>8.4</c:v>
                </c:pt>
                <c:pt idx="6">
                  <c:v>0.70000000000000129</c:v>
                </c:pt>
                <c:pt idx="7">
                  <c:v>0.70000000000000018</c:v>
                </c:pt>
                <c:pt idx="8">
                  <c:v>0.70000000000000018</c:v>
                </c:pt>
                <c:pt idx="9">
                  <c:v>0.70000000000000018</c:v>
                </c:pt>
                <c:pt idx="10">
                  <c:v>0.6000000000000002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EF6-4E82-B576-E9135E5B4B3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ECB/EFSF</c:v>
                </c:pt>
              </c:strCache>
            </c:strRef>
          </c:tx>
          <c:spPr>
            <a:solidFill>
              <a:srgbClr val="3A73AE"/>
            </a:solidFill>
            <a:ln w="15875">
              <a:noFill/>
            </a:ln>
            <a:effectLst>
              <a:innerShdw blurRad="50800" dist="25400" dir="13500000">
                <a:prstClr val="black">
                  <a:alpha val="50000"/>
                </a:prstClr>
              </a:innerShdw>
            </a:effectLst>
          </c:spPr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EF6-4E82-B576-E9135E5B4B35}"/>
                </c:ext>
              </c:extLst>
            </c:dLbl>
            <c:dLbl>
              <c:idx val="1"/>
              <c:layout>
                <c:manualLayout>
                  <c:x val="-3.6561279995788546E-7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3EF6-4E82-B576-E9135E5B4B35}"/>
                </c:ext>
              </c:extLst>
            </c:dLbl>
            <c:dLbl>
              <c:idx val="2"/>
              <c:layout>
                <c:manualLayout>
                  <c:x val="4.6432825594650865E-3"/>
                  <c:y val="1.4196875306413817E-3"/>
                </c:manualLayout>
              </c:layout>
              <c:numFmt formatCode="#,##0" sourceLinked="0"/>
              <c:spPr/>
              <c:txPr>
                <a:bodyPr/>
                <a:lstStyle/>
                <a:p>
                  <a:pPr>
                    <a:defRPr lang="en-US" sz="700" b="0">
                      <a:solidFill>
                        <a:schemeClr val="bg1"/>
                      </a:solidFill>
                      <a:latin typeface="+mn-lt"/>
                    </a:defRPr>
                  </a:pPr>
                  <a:endParaRPr lang="en-US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3EF6-4E82-B576-E9135E5B4B35}"/>
                </c:ext>
              </c:extLst>
            </c:dLbl>
            <c:dLbl>
              <c:idx val="4"/>
              <c:layout>
                <c:manualLayout>
                  <c:x val="0"/>
                  <c:y val="-6.9050949933919799E-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3EF6-4E82-B576-E9135E5B4B35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700" b="0">
                    <a:solidFill>
                      <a:schemeClr val="bg1"/>
                    </a:solidFill>
                    <a:latin typeface="+mn-lt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Sheet1!$A$2:$A$16</c:f>
              <c:strCache>
                <c:ptCount val="11"/>
                <c:pt idx="0">
                  <c:v>Δεκ12</c:v>
                </c:pt>
                <c:pt idx="1">
                  <c:v>Δεκ13</c:v>
                </c:pt>
                <c:pt idx="2">
                  <c:v>Μαρ14</c:v>
                </c:pt>
                <c:pt idx="3">
                  <c:v>Ιούν14</c:v>
                </c:pt>
                <c:pt idx="4">
                  <c:v>Σεπ14</c:v>
                </c:pt>
                <c:pt idx="5">
                  <c:v>Δεκ14</c:v>
                </c:pt>
                <c:pt idx="6">
                  <c:v>Μάρ15</c:v>
                </c:pt>
                <c:pt idx="7">
                  <c:v>Ιούν15</c:v>
                </c:pt>
                <c:pt idx="8">
                  <c:v>Σεπ15</c:v>
                </c:pt>
                <c:pt idx="9">
                  <c:v>Δεκ15</c:v>
                </c:pt>
                <c:pt idx="10">
                  <c:v>Μαρ.16</c:v>
                </c:pt>
              </c:strCache>
            </c:strRef>
          </c:cat>
          <c:val>
            <c:numRef>
              <c:f>Sheet1!$D$2:$D$16</c:f>
              <c:numCache>
                <c:formatCode>0.0</c:formatCode>
                <c:ptCount val="11"/>
                <c:pt idx="0">
                  <c:v>0</c:v>
                </c:pt>
                <c:pt idx="1">
                  <c:v>7.45</c:v>
                </c:pt>
                <c:pt idx="2">
                  <c:v>2.2000000000000002</c:v>
                </c:pt>
                <c:pt idx="3">
                  <c:v>4</c:v>
                </c:pt>
                <c:pt idx="4">
                  <c:v>5.4</c:v>
                </c:pt>
                <c:pt idx="5">
                  <c:v>5.8</c:v>
                </c:pt>
                <c:pt idx="6">
                  <c:v>14.2</c:v>
                </c:pt>
                <c:pt idx="7">
                  <c:v>14.4</c:v>
                </c:pt>
                <c:pt idx="8">
                  <c:v>13.9</c:v>
                </c:pt>
                <c:pt idx="9">
                  <c:v>15.3</c:v>
                </c:pt>
                <c:pt idx="10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EF6-4E82-B576-E9135E5B4B35}"/>
            </c:ext>
          </c:extLst>
        </c:ser>
        <c:gapWidth val="80"/>
        <c:overlap val="100"/>
        <c:axId val="52942720"/>
        <c:axId val="52944256"/>
      </c:barChart>
      <c:catAx>
        <c:axId val="52942720"/>
        <c:scaling>
          <c:orientation val="minMax"/>
          <c:min val="1"/>
        </c:scaling>
        <c:axPos val="b"/>
        <c:numFmt formatCode="General" sourceLinked="1"/>
        <c:majorTickMark val="none"/>
        <c:tickLblPos val="nextTo"/>
        <c:spPr>
          <a:ln w="6350">
            <a:solidFill>
              <a:srgbClr val="FFC000"/>
            </a:solidFill>
            <a:prstDash val="dash"/>
          </a:ln>
        </c:spPr>
        <c:txPr>
          <a:bodyPr/>
          <a:lstStyle/>
          <a:p>
            <a:pPr>
              <a:defRPr lang="en-US" sz="400">
                <a:solidFill>
                  <a:schemeClr val="tx1">
                    <a:lumMod val="75000"/>
                    <a:lumOff val="25000"/>
                  </a:schemeClr>
                </a:solidFill>
                <a:latin typeface="+mn-lt"/>
              </a:defRPr>
            </a:pPr>
            <a:endParaRPr lang="en-US"/>
          </a:p>
        </c:txPr>
        <c:crossAx val="52944256"/>
        <c:crosses val="autoZero"/>
        <c:lblAlgn val="ctr"/>
        <c:lblOffset val="100"/>
      </c:catAx>
      <c:valAx>
        <c:axId val="52944256"/>
        <c:scaling>
          <c:orientation val="minMax"/>
          <c:max val="40"/>
          <c:min val="0"/>
        </c:scaling>
        <c:delete val="1"/>
        <c:axPos val="l"/>
        <c:numFmt formatCode="0" sourceLinked="0"/>
        <c:tickLblPos val="none"/>
        <c:crossAx val="52942720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20287370222066931"/>
          <c:y val="2.6825813439986693E-2"/>
          <c:w val="0.5375790235522887"/>
          <c:h val="0.11821646637691204"/>
        </c:manualLayout>
      </c:layout>
      <c:overlay val="1"/>
      <c:txPr>
        <a:bodyPr/>
        <a:lstStyle/>
        <a:p>
          <a:pPr>
            <a:defRPr lang="en-US" sz="700">
              <a:solidFill>
                <a:srgbClr val="404040"/>
              </a:solidFill>
              <a:latin typeface="+mn-lt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>
          <a:latin typeface="Arial Narrow" pitchFamily="34" charset="0"/>
        </a:defRPr>
      </a:pPr>
      <a:endParaRPr lang="en-US"/>
    </a:p>
  </c:txPr>
  <c:externalData r:id="rId2"/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0.12959503732246264"/>
          <c:y val="6.4597696818998282E-2"/>
          <c:w val="0.79878144078144053"/>
          <c:h val="0.77555188413949139"/>
        </c:manualLayout>
      </c:layout>
      <c:lineChart>
        <c:grouping val="standard"/>
        <c:ser>
          <c:idx val="0"/>
          <c:order val="0"/>
          <c:spPr>
            <a:ln w="12700">
              <a:solidFill>
                <a:srgbClr val="D1AA71"/>
              </a:solidFill>
            </a:ln>
            <a:effectLst>
              <a:innerShdw blurRad="38100" dist="12700" dir="13500000">
                <a:prstClr val="black">
                  <a:alpha val="50000"/>
                </a:prstClr>
              </a:innerShdw>
            </a:effectLst>
          </c:spPr>
          <c:marker>
            <c:symbol val="circle"/>
            <c:size val="5"/>
            <c:spPr>
              <a:solidFill>
                <a:srgbClr val="D1AA71"/>
              </a:solidFill>
              <a:ln w="6350">
                <a:solidFill>
                  <a:srgbClr val="D1AA71"/>
                </a:solidFill>
              </a:ln>
              <a:effectLst>
                <a:innerShdw blurRad="38100" dist="12700" dir="13500000">
                  <a:prstClr val="black">
                    <a:alpha val="50000"/>
                  </a:prstClr>
                </a:innerShdw>
              </a:effectLst>
            </c:spPr>
          </c:marker>
          <c:dLbls>
            <c:dLbl>
              <c:idx val="0"/>
              <c:layout>
                <c:manualLayout>
                  <c:x val="-8.0557861134868805E-2"/>
                  <c:y val="-5.112490446224448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lang="en-GB" sz="650" b="0">
                      <a:solidFill>
                        <a:sysClr val="windowText" lastClr="000000"/>
                      </a:solidFill>
                      <a:latin typeface="+mn-lt"/>
                    </a:defRPr>
                  </a:pPr>
                  <a:endParaRPr lang="en-US"/>
                </a:p>
              </c:txPr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80A-466F-9F55-BB283D4B4098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80A-466F-9F55-BB283D4B4098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80A-466F-9F55-BB283D4B4098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80A-466F-9F55-BB283D4B4098}"/>
                </c:ext>
              </c:extLst>
            </c:dLbl>
            <c:dLbl>
              <c:idx val="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80A-466F-9F55-BB283D4B4098}"/>
                </c:ext>
              </c:extLst>
            </c:dLbl>
            <c:dLbl>
              <c:idx val="5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80A-466F-9F55-BB283D4B4098}"/>
                </c:ext>
              </c:extLst>
            </c:dLbl>
            <c:dLbl>
              <c:idx val="6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80A-466F-9F55-BB283D4B4098}"/>
                </c:ext>
              </c:extLst>
            </c:dLbl>
            <c:dLbl>
              <c:idx val="7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80A-466F-9F55-BB283D4B4098}"/>
                </c:ext>
              </c:extLst>
            </c:dLbl>
            <c:dLbl>
              <c:idx val="8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80A-466F-9F55-BB283D4B4098}"/>
                </c:ext>
              </c:extLst>
            </c:dLbl>
            <c:dLbl>
              <c:idx val="9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80A-466F-9F55-BB283D4B4098}"/>
                </c:ext>
              </c:extLst>
            </c:dLbl>
            <c:dLbl>
              <c:idx val="1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80A-466F-9F55-BB283D4B4098}"/>
                </c:ext>
              </c:extLst>
            </c:dLbl>
            <c:dLbl>
              <c:idx val="1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80A-466F-9F55-BB283D4B4098}"/>
                </c:ext>
              </c:extLst>
            </c:dLbl>
            <c:dLbl>
              <c:idx val="1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80A-466F-9F55-BB283D4B4098}"/>
                </c:ext>
              </c:extLst>
            </c:dLbl>
            <c:dLbl>
              <c:idx val="13"/>
              <c:layout>
                <c:manualLayout>
                  <c:x val="-3.0515068595149016E-2"/>
                  <c:y val="-0.1194503436033152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-0.37%</a:t>
                    </a:r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00C-454F-A210-D07E4512DA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GB" sz="700" b="0">
                    <a:solidFill>
                      <a:srgbClr val="000000"/>
                    </a:solidFill>
                    <a:latin typeface="+mn-lt"/>
                  </a:defRPr>
                </a:pPr>
                <a:endParaRPr lang="en-US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PPI!$L$24:$Y$24</c:f>
              <c:strCache>
                <c:ptCount val="14"/>
                <c:pt idx="0">
                  <c:v>Q4.12</c:v>
                </c:pt>
                <c:pt idx="1">
                  <c:v>Q1.13</c:v>
                </c:pt>
                <c:pt idx="2">
                  <c:v>Q2.13</c:v>
                </c:pt>
                <c:pt idx="3">
                  <c:v>Q3.13</c:v>
                </c:pt>
                <c:pt idx="4">
                  <c:v>Q4.13</c:v>
                </c:pt>
                <c:pt idx="5">
                  <c:v>Q1.14</c:v>
                </c:pt>
                <c:pt idx="6">
                  <c:v>Q2.14</c:v>
                </c:pt>
                <c:pt idx="7">
                  <c:v>Q3.14</c:v>
                </c:pt>
                <c:pt idx="8">
                  <c:v>Q4.14</c:v>
                </c:pt>
                <c:pt idx="9">
                  <c:v>Q1.15</c:v>
                </c:pt>
                <c:pt idx="10">
                  <c:v>Q2.15</c:v>
                </c:pt>
                <c:pt idx="11">
                  <c:v>Q3.15</c:v>
                </c:pt>
                <c:pt idx="12">
                  <c:v>Q4.15</c:v>
                </c:pt>
                <c:pt idx="13">
                  <c:v>Q1.16</c:v>
                </c:pt>
              </c:strCache>
            </c:strRef>
          </c:cat>
          <c:val>
            <c:numRef>
              <c:f>PPI!$L$25:$Y$25</c:f>
              <c:numCache>
                <c:formatCode>0.00%</c:formatCode>
                <c:ptCount val="14"/>
                <c:pt idx="0">
                  <c:v>3.210000000000001E-2</c:v>
                </c:pt>
                <c:pt idx="1">
                  <c:v>2.4299999999999999E-2</c:v>
                </c:pt>
                <c:pt idx="2">
                  <c:v>1.7800000000000003E-2</c:v>
                </c:pt>
                <c:pt idx="3">
                  <c:v>1.6799999999999999E-2</c:v>
                </c:pt>
                <c:pt idx="4">
                  <c:v>1.3200000000000005E-2</c:v>
                </c:pt>
                <c:pt idx="5">
                  <c:v>1.0500000000000004E-2</c:v>
                </c:pt>
                <c:pt idx="6">
                  <c:v>6.8000000000000022E-3</c:v>
                </c:pt>
                <c:pt idx="7">
                  <c:v>5.1000000000000004E-3</c:v>
                </c:pt>
                <c:pt idx="8">
                  <c:v>1.0000000000000005E-4</c:v>
                </c:pt>
                <c:pt idx="9">
                  <c:v>3.8000000000000009E-3</c:v>
                </c:pt>
                <c:pt idx="10">
                  <c:v>1.6000000000000005E-3</c:v>
                </c:pt>
                <c:pt idx="11">
                  <c:v>5.6000000000000017E-3</c:v>
                </c:pt>
                <c:pt idx="12">
                  <c:v>1.1999999999999999E-3</c:v>
                </c:pt>
                <c:pt idx="13">
                  <c:v>-3.6000000000000012E-3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D80A-466F-9F55-BB283D4B4098}"/>
            </c:ext>
          </c:extLst>
        </c:ser>
        <c:marker val="1"/>
        <c:axId val="52950528"/>
        <c:axId val="52952064"/>
      </c:lineChart>
      <c:catAx>
        <c:axId val="52950528"/>
        <c:scaling>
          <c:orientation val="minMax"/>
        </c:scaling>
        <c:axPos val="b"/>
        <c:numFmt formatCode="General" sourceLinked="0"/>
        <c:tickLblPos val="nextTo"/>
        <c:spPr>
          <a:ln>
            <a:solidFill>
              <a:srgbClr val="FFC000"/>
            </a:solidFill>
            <a:prstDash val="dash"/>
          </a:ln>
        </c:spPr>
        <c:txPr>
          <a:bodyPr rot="-5400000"/>
          <a:lstStyle/>
          <a:p>
            <a:pPr>
              <a:defRPr lang="en-US" sz="600">
                <a:solidFill>
                  <a:srgbClr val="595959"/>
                </a:solidFill>
              </a:defRPr>
            </a:pPr>
            <a:endParaRPr lang="en-US"/>
          </a:p>
        </c:txPr>
        <c:crossAx val="52952064"/>
        <c:crosses val="autoZero"/>
        <c:auto val="1"/>
        <c:lblAlgn val="ctr"/>
        <c:lblOffset val="100"/>
      </c:catAx>
      <c:valAx>
        <c:axId val="52952064"/>
        <c:scaling>
          <c:orientation val="minMax"/>
          <c:min val="-1.0000000000000005E-2"/>
        </c:scaling>
        <c:delete val="1"/>
        <c:axPos val="l"/>
        <c:numFmt formatCode="0.0%" sourceLinked="0"/>
        <c:tickLblPos val="none"/>
        <c:crossAx val="52950528"/>
        <c:crosses val="autoZero"/>
        <c:crossBetween val="between"/>
        <c:majorUnit val="1.0000000000000005E-2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6.7547753085261217E-2"/>
          <c:y val="2.8875889929419148E-2"/>
          <c:w val="0.84674878258378861"/>
          <c:h val="0.80053330685295332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D1AA71"/>
            </a:solidFill>
            <a:ln>
              <a:noFill/>
            </a:ln>
            <a:effectLst>
              <a:innerShdw blurRad="50800" dist="25400" dir="13500000">
                <a:prstClr val="black">
                  <a:alpha val="50000"/>
                </a:prstClr>
              </a:innerShdw>
            </a:effectLst>
          </c:spPr>
          <c:dPt>
            <c:idx val="4"/>
            <c:spPr>
              <a:solidFill>
                <a:srgbClr val="3A73AE"/>
              </a:solidFill>
              <a:ln>
                <a:noFill/>
              </a:ln>
              <a:effectLst>
                <a:innerShdw blurRad="50800" dist="25400" dir="13500000">
                  <a:prstClr val="black">
                    <a:alpha val="50000"/>
                  </a:prstClr>
                </a:inn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CD99-492F-974C-0B1E4A142A64}"/>
              </c:ext>
            </c:extLst>
          </c:dPt>
          <c:dPt>
            <c:idx val="6"/>
            <c:spPr>
              <a:solidFill>
                <a:srgbClr val="3B73AF"/>
              </a:solidFill>
              <a:ln>
                <a:noFill/>
              </a:ln>
              <a:effectLst>
                <a:innerShdw blurRad="50800" dist="25400" dir="13500000">
                  <a:prstClr val="black">
                    <a:alpha val="50000"/>
                  </a:prstClr>
                </a:inn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CD99-492F-974C-0B1E4A142A64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Μαρ.15</c:v>
                </c:pt>
                <c:pt idx="1">
                  <c:v>Ιουν.15</c:v>
                </c:pt>
                <c:pt idx="2">
                  <c:v>Σεπ.15</c:v>
                </c:pt>
                <c:pt idx="3">
                  <c:v>Δεξ.15</c:v>
                </c:pt>
                <c:pt idx="4">
                  <c:v>Μαρ.16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0.56000000000000005</c:v>
                </c:pt>
                <c:pt idx="1">
                  <c:v>0.61201924604580615</c:v>
                </c:pt>
                <c:pt idx="2">
                  <c:v>0.60622963274911734</c:v>
                </c:pt>
                <c:pt idx="3">
                  <c:v>0.65000000000000024</c:v>
                </c:pt>
                <c:pt idx="4">
                  <c:v>0.65800000000000025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D99-492F-974C-0B1E4A142A64}"/>
            </c:ext>
          </c:extLst>
        </c:ser>
        <c:axId val="64365696"/>
        <c:axId val="64367232"/>
      </c:barChart>
      <c:catAx>
        <c:axId val="64365696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6350">
            <a:solidFill>
              <a:srgbClr val="FFC000"/>
            </a:solidFill>
            <a:prstDash val="dash"/>
          </a:ln>
        </c:spPr>
        <c:txPr>
          <a:bodyPr rot="0" vert="horz"/>
          <a:lstStyle/>
          <a:p>
            <a:pPr>
              <a:defRPr lang="el-GR" sz="600">
                <a:solidFill>
                  <a:srgbClr val="595959"/>
                </a:solidFill>
                <a:latin typeface="+mn-lt"/>
              </a:defRPr>
            </a:pPr>
            <a:endParaRPr lang="en-US"/>
          </a:p>
        </c:txPr>
        <c:crossAx val="64367232"/>
        <c:crosses val="autoZero"/>
        <c:auto val="1"/>
        <c:lblAlgn val="ctr"/>
        <c:lblOffset val="100"/>
      </c:catAx>
      <c:valAx>
        <c:axId val="64367232"/>
        <c:scaling>
          <c:orientation val="minMax"/>
          <c:max val="0.70000000000000062"/>
          <c:min val="0.45"/>
        </c:scaling>
        <c:delete val="1"/>
        <c:axPos val="l"/>
        <c:numFmt formatCode="0%" sourceLinked="1"/>
        <c:tickLblPos val="none"/>
        <c:crossAx val="64365696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/>
      </a:pPr>
      <a:endParaRPr lang="en-US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0.17582</cdr:x>
      <cdr:y>0.64402</cdr:y>
    </cdr:from>
    <cdr:to>
      <cdr:x>0.29929</cdr:x>
      <cdr:y>0.74916</cdr:y>
    </cdr:to>
    <cdr:sp macro="" textlink="">
      <cdr:nvSpPr>
        <cdr:cNvPr id="2" name="TextBox 24"/>
        <cdr:cNvSpPr txBox="1"/>
      </cdr:nvSpPr>
      <cdr:spPr>
        <a:xfrm xmlns:a="http://schemas.openxmlformats.org/drawingml/2006/main">
          <a:off x="392546" y="1236673"/>
          <a:ext cx="275662" cy="201891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13" tIns="45708" rIns="91413" bIns="45708" rtlCol="0">
          <a:spAutoFit/>
        </a:bodyPr>
        <a:lstStyle xmlns:a="http://schemas.openxmlformats.org/drawingml/2006/main">
          <a:defPPr>
            <a:defRPr lang="en-US"/>
          </a:defPPr>
          <a:lvl1pPr marL="0" algn="l" defTabSz="368227" rtl="0" eaLnBrk="1" latinLnBrk="0" hangingPunct="1">
            <a:defRPr sz="1500" kern="12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368227" algn="l" defTabSz="368227" rtl="0" eaLnBrk="1" latinLnBrk="0" hangingPunct="1">
            <a:defRPr sz="1500" kern="12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736452" algn="l" defTabSz="368227" rtl="0" eaLnBrk="1" latinLnBrk="0" hangingPunct="1">
            <a:defRPr sz="1500" kern="12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104678" algn="l" defTabSz="368227" rtl="0" eaLnBrk="1" latinLnBrk="0" hangingPunct="1">
            <a:defRPr sz="1500" kern="12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472904" algn="l" defTabSz="368227" rtl="0" eaLnBrk="1" latinLnBrk="0" hangingPunct="1">
            <a:defRPr sz="1500" kern="12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1841129" algn="l" defTabSz="368227" rtl="0" eaLnBrk="1" latinLnBrk="0" hangingPunct="1">
            <a:defRPr sz="1500" kern="12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209355" algn="l" defTabSz="368227" rtl="0" eaLnBrk="1" latinLnBrk="0" hangingPunct="1">
            <a:defRPr sz="1500" kern="12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2577581" algn="l" defTabSz="368227" rtl="0" eaLnBrk="1" latinLnBrk="0" hangingPunct="1">
            <a:defRPr sz="1500" kern="12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2945808" algn="l" defTabSz="368227" rtl="0" eaLnBrk="1" latinLnBrk="0" hangingPunct="1">
            <a:defRPr sz="1500" kern="12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700" b="1" dirty="0" smtClean="0">
              <a:solidFill>
                <a:sysClr val="windowText" lastClr="000000"/>
              </a:solidFill>
            </a:rPr>
            <a:t>10</a:t>
          </a:r>
          <a:endParaRPr lang="en-GB" sz="700" b="1" dirty="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0.25643</cdr:x>
      <cdr:y>0.66104</cdr:y>
    </cdr:from>
    <cdr:to>
      <cdr:x>0.37989</cdr:x>
      <cdr:y>0.76618</cdr:y>
    </cdr:to>
    <cdr:sp macro="" textlink="">
      <cdr:nvSpPr>
        <cdr:cNvPr id="3" name="TextBox 24"/>
        <cdr:cNvSpPr txBox="1"/>
      </cdr:nvSpPr>
      <cdr:spPr>
        <a:xfrm xmlns:a="http://schemas.openxmlformats.org/drawingml/2006/main">
          <a:off x="572517" y="1269347"/>
          <a:ext cx="275644" cy="201894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13" tIns="45708" rIns="91413" bIns="45708" rtlCol="0">
          <a:sp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700" b="1" dirty="0" smtClean="0">
              <a:solidFill>
                <a:sysClr val="windowText" lastClr="000000"/>
              </a:solidFill>
            </a:rPr>
            <a:t>10</a:t>
          </a:r>
          <a:endParaRPr lang="en-GB" sz="700" b="1" dirty="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0.33943</cdr:x>
      <cdr:y>0.66358</cdr:y>
    </cdr:from>
    <cdr:to>
      <cdr:x>0.4629</cdr:x>
      <cdr:y>0.76872</cdr:y>
    </cdr:to>
    <cdr:sp macro="" textlink="">
      <cdr:nvSpPr>
        <cdr:cNvPr id="4" name="TextBox 24"/>
        <cdr:cNvSpPr txBox="1"/>
      </cdr:nvSpPr>
      <cdr:spPr>
        <a:xfrm xmlns:a="http://schemas.openxmlformats.org/drawingml/2006/main">
          <a:off x="757827" y="1274226"/>
          <a:ext cx="275666" cy="201894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13" tIns="45708" rIns="91413" bIns="45708" rtlCol="0">
          <a:sp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700" b="1" dirty="0" smtClean="0">
              <a:solidFill>
                <a:sysClr val="windowText" lastClr="000000"/>
              </a:solidFill>
            </a:rPr>
            <a:t>10</a:t>
          </a:r>
          <a:endParaRPr lang="en-GB" sz="700" b="1" dirty="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0.42972</cdr:x>
      <cdr:y>0.60765</cdr:y>
    </cdr:from>
    <cdr:to>
      <cdr:x>0.5203</cdr:x>
      <cdr:y>0.68065</cdr:y>
    </cdr:to>
    <cdr:sp macro="" textlink="">
      <cdr:nvSpPr>
        <cdr:cNvPr id="5" name="TextBox 24"/>
        <cdr:cNvSpPr txBox="1"/>
      </cdr:nvSpPr>
      <cdr:spPr>
        <a:xfrm xmlns:a="http://schemas.openxmlformats.org/drawingml/2006/main">
          <a:off x="959408" y="1166841"/>
          <a:ext cx="202234" cy="140162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13" tIns="45708" rIns="91413" bIns="45708" rtlCol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700" b="1" dirty="0" smtClean="0">
              <a:solidFill>
                <a:sysClr val="windowText" lastClr="000000"/>
              </a:solidFill>
            </a:rPr>
            <a:t>14</a:t>
          </a:r>
          <a:endParaRPr lang="en-GB" sz="700" b="1" dirty="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0.51584</cdr:x>
      <cdr:y>0.34441</cdr:y>
    </cdr:from>
    <cdr:to>
      <cdr:x>0.63931</cdr:x>
      <cdr:y>0.44955</cdr:y>
    </cdr:to>
    <cdr:sp macro="" textlink="">
      <cdr:nvSpPr>
        <cdr:cNvPr id="6" name="TextBox 24"/>
        <cdr:cNvSpPr txBox="1"/>
      </cdr:nvSpPr>
      <cdr:spPr>
        <a:xfrm xmlns:a="http://schemas.openxmlformats.org/drawingml/2006/main">
          <a:off x="1151704" y="661346"/>
          <a:ext cx="275666" cy="201894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13" tIns="45708" rIns="91413" bIns="45708" rtlCol="0">
          <a:sp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700" b="1" dirty="0" smtClean="0">
              <a:solidFill>
                <a:sysClr val="windowText" lastClr="000000"/>
              </a:solidFill>
            </a:rPr>
            <a:t>30</a:t>
          </a:r>
          <a:endParaRPr lang="en-GB" sz="700" b="1" dirty="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0.60096</cdr:x>
      <cdr:y>0.22646</cdr:y>
    </cdr:from>
    <cdr:to>
      <cdr:x>0.72443</cdr:x>
      <cdr:y>0.3316</cdr:y>
    </cdr:to>
    <cdr:sp macro="" textlink="">
      <cdr:nvSpPr>
        <cdr:cNvPr id="7" name="TextBox 24"/>
        <cdr:cNvSpPr txBox="1"/>
      </cdr:nvSpPr>
      <cdr:spPr>
        <a:xfrm xmlns:a="http://schemas.openxmlformats.org/drawingml/2006/main">
          <a:off x="1341739" y="434858"/>
          <a:ext cx="275662" cy="201891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13" tIns="45708" rIns="91413" bIns="45708" rtlCol="0">
          <a:sp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700" b="1" smtClean="0">
              <a:solidFill>
                <a:sysClr val="windowText" lastClr="000000"/>
              </a:solidFill>
            </a:rPr>
            <a:t>3</a:t>
          </a:r>
          <a:r>
            <a:rPr lang="el-GR" sz="700" b="1" smtClean="0">
              <a:solidFill>
                <a:sysClr val="windowText" lastClr="000000"/>
              </a:solidFill>
            </a:rPr>
            <a:t>7</a:t>
          </a:r>
          <a:endParaRPr lang="en-GB" sz="700" b="1" dirty="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0.08413</cdr:x>
      <cdr:y>0.53379</cdr:y>
    </cdr:from>
    <cdr:to>
      <cdr:x>0.2076</cdr:x>
      <cdr:y>0.63893</cdr:y>
    </cdr:to>
    <cdr:sp macro="" textlink="">
      <cdr:nvSpPr>
        <cdr:cNvPr id="8" name="TextBox 24"/>
        <cdr:cNvSpPr txBox="1"/>
      </cdr:nvSpPr>
      <cdr:spPr>
        <a:xfrm xmlns:a="http://schemas.openxmlformats.org/drawingml/2006/main">
          <a:off x="187834" y="1025005"/>
          <a:ext cx="275662" cy="201891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13" tIns="45708" rIns="91413" bIns="45708" rtlCol="0">
          <a:spAutoFit/>
        </a:bodyPr>
        <a:lstStyle xmlns:a="http://schemas.openxmlformats.org/drawingml/2006/main">
          <a:defPPr>
            <a:defRPr lang="en-US"/>
          </a:defPPr>
          <a:lvl1pPr marL="0" algn="l" defTabSz="368227" rtl="0" eaLnBrk="1" latinLnBrk="0" hangingPunct="1">
            <a:defRPr sz="1500" kern="12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368227" algn="l" defTabSz="368227" rtl="0" eaLnBrk="1" latinLnBrk="0" hangingPunct="1">
            <a:defRPr sz="1500" kern="12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736452" algn="l" defTabSz="368227" rtl="0" eaLnBrk="1" latinLnBrk="0" hangingPunct="1">
            <a:defRPr sz="1500" kern="12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104678" algn="l" defTabSz="368227" rtl="0" eaLnBrk="1" latinLnBrk="0" hangingPunct="1">
            <a:defRPr sz="1500" kern="12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472904" algn="l" defTabSz="368227" rtl="0" eaLnBrk="1" latinLnBrk="0" hangingPunct="1">
            <a:defRPr sz="1500" kern="12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1841129" algn="l" defTabSz="368227" rtl="0" eaLnBrk="1" latinLnBrk="0" hangingPunct="1">
            <a:defRPr sz="1500" kern="12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209355" algn="l" defTabSz="368227" rtl="0" eaLnBrk="1" latinLnBrk="0" hangingPunct="1">
            <a:defRPr sz="1500" kern="12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2577581" algn="l" defTabSz="368227" rtl="0" eaLnBrk="1" latinLnBrk="0" hangingPunct="1">
            <a:defRPr sz="1500" kern="12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2945808" algn="l" defTabSz="368227" rtl="0" eaLnBrk="1" latinLnBrk="0" hangingPunct="1">
            <a:defRPr sz="1500" kern="12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700" b="1" dirty="0" smtClean="0">
              <a:solidFill>
                <a:sysClr val="windowText" lastClr="000000"/>
              </a:solidFill>
            </a:rPr>
            <a:t>18</a:t>
          </a:r>
          <a:endParaRPr lang="en-GB" sz="700" b="1" dirty="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0.00386</cdr:x>
      <cdr:y>0.31011</cdr:y>
    </cdr:from>
    <cdr:to>
      <cdr:x>0.12733</cdr:x>
      <cdr:y>0.41525</cdr:y>
    </cdr:to>
    <cdr:sp macro="" textlink="">
      <cdr:nvSpPr>
        <cdr:cNvPr id="9" name="TextBox 24"/>
        <cdr:cNvSpPr txBox="1"/>
      </cdr:nvSpPr>
      <cdr:spPr>
        <a:xfrm xmlns:a="http://schemas.openxmlformats.org/drawingml/2006/main">
          <a:off x="8618" y="595486"/>
          <a:ext cx="275662" cy="201891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13" tIns="45708" rIns="91413" bIns="45708" rtlCol="0">
          <a:spAutoFit/>
        </a:bodyPr>
        <a:lstStyle xmlns:a="http://schemas.openxmlformats.org/drawingml/2006/main">
          <a:defPPr>
            <a:defRPr lang="en-US"/>
          </a:defPPr>
          <a:lvl1pPr marL="0" algn="l" defTabSz="368227" rtl="0" eaLnBrk="1" latinLnBrk="0" hangingPunct="1">
            <a:defRPr sz="1500" kern="12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368227" algn="l" defTabSz="368227" rtl="0" eaLnBrk="1" latinLnBrk="0" hangingPunct="1">
            <a:defRPr sz="1500" kern="12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736452" algn="l" defTabSz="368227" rtl="0" eaLnBrk="1" latinLnBrk="0" hangingPunct="1">
            <a:defRPr sz="1500" kern="12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104678" algn="l" defTabSz="368227" rtl="0" eaLnBrk="1" latinLnBrk="0" hangingPunct="1">
            <a:defRPr sz="1500" kern="12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472904" algn="l" defTabSz="368227" rtl="0" eaLnBrk="1" latinLnBrk="0" hangingPunct="1">
            <a:defRPr sz="1500" kern="12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1841129" algn="l" defTabSz="368227" rtl="0" eaLnBrk="1" latinLnBrk="0" hangingPunct="1">
            <a:defRPr sz="1500" kern="12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209355" algn="l" defTabSz="368227" rtl="0" eaLnBrk="1" latinLnBrk="0" hangingPunct="1">
            <a:defRPr sz="1500" kern="12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2577581" algn="l" defTabSz="368227" rtl="0" eaLnBrk="1" latinLnBrk="0" hangingPunct="1">
            <a:defRPr sz="1500" kern="12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2945808" algn="l" defTabSz="368227" rtl="0" eaLnBrk="1" latinLnBrk="0" hangingPunct="1">
            <a:defRPr sz="1500" kern="12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700" b="1" dirty="0" smtClean="0">
              <a:solidFill>
                <a:sysClr val="windowText" lastClr="000000"/>
              </a:solidFill>
            </a:rPr>
            <a:t>32</a:t>
          </a:r>
          <a:endParaRPr lang="en-GB" sz="700" b="1" dirty="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0.5529</cdr:x>
      <cdr:y>0.47172</cdr:y>
    </cdr:from>
    <cdr:to>
      <cdr:x>0.62193</cdr:x>
      <cdr:y>0.54207</cdr:y>
    </cdr:to>
    <cdr:sp macro="" textlink="">
      <cdr:nvSpPr>
        <cdr:cNvPr id="10" name="Text Box 9"/>
        <cdr:cNvSpPr txBox="1"/>
      </cdr:nvSpPr>
      <cdr:spPr>
        <a:xfrm xmlns:a="http://schemas.openxmlformats.org/drawingml/2006/main">
          <a:off x="1268146" y="833933"/>
          <a:ext cx="158318" cy="1243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 sz="500"/>
        </a:p>
      </cdr:txBody>
    </cdr:sp>
  </cdr:relSizeAnchor>
  <cdr:relSizeAnchor xmlns:cdr="http://schemas.openxmlformats.org/drawingml/2006/chartDrawing">
    <cdr:from>
      <cdr:x>0.71232</cdr:x>
      <cdr:y>0.19623</cdr:y>
    </cdr:from>
    <cdr:to>
      <cdr:x>0.85374</cdr:x>
      <cdr:y>0.29968</cdr:y>
    </cdr:to>
    <cdr:sp macro="" textlink="">
      <cdr:nvSpPr>
        <cdr:cNvPr id="13" name="Rectangle 12"/>
        <cdr:cNvSpPr/>
      </cdr:nvSpPr>
      <cdr:spPr>
        <a:xfrm xmlns:a="http://schemas.openxmlformats.org/drawingml/2006/main">
          <a:off x="1669972" y="385775"/>
          <a:ext cx="331548" cy="20337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</cdr:sp>
  </cdr:relSizeAnchor>
  <cdr:relSizeAnchor xmlns:cdr="http://schemas.openxmlformats.org/drawingml/2006/chartDrawing">
    <cdr:from>
      <cdr:x>0.75457</cdr:x>
      <cdr:y>0.17685</cdr:y>
    </cdr:from>
    <cdr:to>
      <cdr:x>0.89599</cdr:x>
      <cdr:y>0.2803</cdr:y>
    </cdr:to>
    <cdr:sp macro="" textlink="">
      <cdr:nvSpPr>
        <cdr:cNvPr id="14" name="Rectangle 13"/>
        <cdr:cNvSpPr/>
      </cdr:nvSpPr>
      <cdr:spPr>
        <a:xfrm xmlns:a="http://schemas.openxmlformats.org/drawingml/2006/main">
          <a:off x="1769032" y="347675"/>
          <a:ext cx="331548" cy="20337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</cdr:sp>
  </cdr:relSizeAnchor>
  <cdr:relSizeAnchor xmlns:cdr="http://schemas.openxmlformats.org/drawingml/2006/chartDrawing">
    <cdr:from>
      <cdr:x>0.68653</cdr:x>
      <cdr:y>0.24415</cdr:y>
    </cdr:from>
    <cdr:to>
      <cdr:x>0.80999</cdr:x>
      <cdr:y>0.34929</cdr:y>
    </cdr:to>
    <cdr:sp macro="" textlink="">
      <cdr:nvSpPr>
        <cdr:cNvPr id="15" name="TextBox 24"/>
        <cdr:cNvSpPr txBox="1"/>
      </cdr:nvSpPr>
      <cdr:spPr>
        <a:xfrm xmlns:a="http://schemas.openxmlformats.org/drawingml/2006/main">
          <a:off x="1532781" y="468828"/>
          <a:ext cx="275662" cy="201891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13" tIns="45708" rIns="91413" bIns="45708" rtlCol="0">
          <a:sp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700" b="1" smtClean="0">
              <a:solidFill>
                <a:sysClr val="windowText" lastClr="000000"/>
              </a:solidFill>
            </a:rPr>
            <a:t>3</a:t>
          </a:r>
          <a:r>
            <a:rPr lang="el-GR" sz="700" b="1" smtClean="0">
              <a:solidFill>
                <a:sysClr val="windowText" lastClr="000000"/>
              </a:solidFill>
            </a:rPr>
            <a:t>6</a:t>
          </a:r>
          <a:endParaRPr lang="en-GB" sz="700" b="1" dirty="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0.76944</cdr:x>
      <cdr:y>0.29674</cdr:y>
    </cdr:from>
    <cdr:to>
      <cdr:x>0.89291</cdr:x>
      <cdr:y>0.40188</cdr:y>
    </cdr:to>
    <cdr:sp macro="" textlink="">
      <cdr:nvSpPr>
        <cdr:cNvPr id="16" name="TextBox 24"/>
        <cdr:cNvSpPr txBox="1"/>
      </cdr:nvSpPr>
      <cdr:spPr>
        <a:xfrm xmlns:a="http://schemas.openxmlformats.org/drawingml/2006/main">
          <a:off x="1717898" y="569812"/>
          <a:ext cx="275662" cy="201891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13" tIns="45708" rIns="91413" bIns="45708" rtlCol="0">
          <a:sp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700" b="1" smtClean="0">
              <a:solidFill>
                <a:sysClr val="windowText" lastClr="000000"/>
              </a:solidFill>
            </a:rPr>
            <a:t>33</a:t>
          </a:r>
          <a:endParaRPr lang="en-GB" sz="700" b="1" dirty="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0.85598</cdr:x>
      <cdr:y>0.34872</cdr:y>
    </cdr:from>
    <cdr:to>
      <cdr:x>0.97945</cdr:x>
      <cdr:y>0.45386</cdr:y>
    </cdr:to>
    <cdr:sp macro="" textlink="">
      <cdr:nvSpPr>
        <cdr:cNvPr id="17" name="TextBox 24"/>
        <cdr:cNvSpPr txBox="1"/>
      </cdr:nvSpPr>
      <cdr:spPr>
        <a:xfrm xmlns:a="http://schemas.openxmlformats.org/drawingml/2006/main">
          <a:off x="1911112" y="669620"/>
          <a:ext cx="275662" cy="201891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13" tIns="45708" rIns="91413" bIns="45708" rtlCol="0">
          <a:sp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700" b="1" smtClean="0">
              <a:solidFill>
                <a:sysClr val="windowText" lastClr="000000"/>
              </a:solidFill>
            </a:rPr>
            <a:t>30</a:t>
          </a:r>
          <a:endParaRPr lang="en-GB" sz="700" b="1" dirty="0">
            <a:solidFill>
              <a:sysClr val="windowText" lastClr="00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Θέμα του Office">
  <a:themeElements>
    <a:clrScheme name="corporatecolors">
      <a:dk1>
        <a:sysClr val="windowText" lastClr="000000"/>
      </a:dk1>
      <a:lt1>
        <a:sysClr val="window" lastClr="FFFFFF"/>
      </a:lt1>
      <a:dk2>
        <a:srgbClr val="003C96"/>
      </a:dk2>
      <a:lt2>
        <a:srgbClr val="D9D9D9"/>
      </a:lt2>
      <a:accent1>
        <a:srgbClr val="3A73AE"/>
      </a:accent1>
      <a:accent2>
        <a:srgbClr val="D1AA70"/>
      </a:accent2>
      <a:accent3>
        <a:srgbClr val="464646"/>
      </a:accent3>
      <a:accent4>
        <a:srgbClr val="FAB414"/>
      </a:accent4>
      <a:accent5>
        <a:srgbClr val="FF0000"/>
      </a:accent5>
      <a:accent6>
        <a:srgbClr val="00B050"/>
      </a:accent6>
      <a:hlink>
        <a:srgbClr val="0070C0"/>
      </a:hlink>
      <a:folHlink>
        <a:srgbClr val="7030A0"/>
      </a:folHlink>
    </a:clrScheme>
    <a:fontScheme name="Piraeus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06F63-E158-42B3-A20D-5A7F5699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2084</Words>
  <Characters>11885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Xρυσάνθη Μπερμπάτη</dc:creator>
  <cp:lastModifiedBy>user</cp:lastModifiedBy>
  <cp:revision>2</cp:revision>
  <cp:lastPrinted>2016-05-25T12:57:00Z</cp:lastPrinted>
  <dcterms:created xsi:type="dcterms:W3CDTF">2016-05-25T14:27:00Z</dcterms:created>
  <dcterms:modified xsi:type="dcterms:W3CDTF">2016-05-25T14:27:00Z</dcterms:modified>
</cp:coreProperties>
</file>