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68066" w14:textId="00B26C7F" w:rsidR="00AE4B81" w:rsidRDefault="002D213C" w:rsidP="00B82093">
      <w:pPr>
        <w:tabs>
          <w:tab w:val="left" w:pos="5040"/>
        </w:tabs>
        <w:spacing w:before="240"/>
        <w:ind w:left="-720" w:right="-7"/>
        <w:jc w:val="right"/>
        <w:rPr>
          <w:rFonts w:eastAsia="Times New Roman" w:cs="Calibri"/>
          <w:b/>
          <w:color w:val="6691AB"/>
          <w:sz w:val="28"/>
          <w:szCs w:val="28"/>
        </w:rPr>
      </w:pPr>
      <w:r w:rsidRPr="00CD531B">
        <w:rPr>
          <w:rFonts w:cs="Calibri"/>
          <w:noProof/>
          <w:color w:val="FF0000"/>
          <w:lang w:eastAsia="el-GR"/>
        </w:rPr>
        <mc:AlternateContent>
          <mc:Choice Requires="wps">
            <w:drawing>
              <wp:anchor distT="0" distB="0" distL="114300" distR="114300" simplePos="0" relativeHeight="251672576" behindDoc="1" locked="0" layoutInCell="1" allowOverlap="1" wp14:anchorId="1A340ECA" wp14:editId="535F8728">
                <wp:simplePos x="0" y="0"/>
                <wp:positionH relativeFrom="page">
                  <wp:align>left</wp:align>
                </wp:positionH>
                <wp:positionV relativeFrom="paragraph">
                  <wp:posOffset>0</wp:posOffset>
                </wp:positionV>
                <wp:extent cx="6927850" cy="500380"/>
                <wp:effectExtent l="0" t="0" r="6350" b="0"/>
                <wp:wrapTight wrapText="bothSides">
                  <wp:wrapPolygon edited="0">
                    <wp:start x="0" y="0"/>
                    <wp:lineTo x="0" y="20558"/>
                    <wp:lineTo x="21560" y="20558"/>
                    <wp:lineTo x="2156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500380"/>
                        </a:xfrm>
                        <a:prstGeom prst="rect">
                          <a:avLst/>
                        </a:prstGeom>
                        <a:solidFill>
                          <a:srgbClr val="FFFFFF"/>
                        </a:solidFill>
                        <a:ln w="9525">
                          <a:noFill/>
                          <a:miter lim="800000"/>
                          <a:headEnd/>
                          <a:tailEnd/>
                        </a:ln>
                      </wps:spPr>
                      <wps:txbx>
                        <w:txbxContent>
                          <w:p w14:paraId="19BB7A85" w14:textId="2DBD8FC3" w:rsidR="00EA6E38" w:rsidRPr="0082001C" w:rsidRDefault="00EA6E38" w:rsidP="006E51FD">
                            <w:pPr>
                              <w:pStyle w:val="ListParagraph"/>
                              <w:spacing w:line="216" w:lineRule="auto"/>
                              <w:ind w:left="-1259" w:right="-142"/>
                              <w:jc w:val="right"/>
                              <w:rPr>
                                <w:rFonts w:eastAsia="Times New Roman" w:cs="Calibri"/>
                                <w:b/>
                                <w:i/>
                                <w:color w:val="6691AB"/>
                                <w:sz w:val="28"/>
                                <w:szCs w:val="28"/>
                                <w:lang w:val="el-GR"/>
                              </w:rPr>
                            </w:pPr>
                            <w:r w:rsidRPr="0082001C">
                              <w:rPr>
                                <w:rFonts w:eastAsia="Times New Roman" w:cs="Calibri"/>
                                <w:b/>
                                <w:i/>
                                <w:color w:val="6691AB"/>
                                <w:sz w:val="28"/>
                                <w:szCs w:val="28"/>
                                <w:lang w:val="el-GR"/>
                              </w:rPr>
                              <w:t xml:space="preserve">Με </w:t>
                            </w:r>
                            <w:r>
                              <w:rPr>
                                <w:rFonts w:eastAsia="Times New Roman" w:cs="Calibri"/>
                                <w:b/>
                                <w:i/>
                                <w:color w:val="6691AB"/>
                                <w:sz w:val="28"/>
                                <w:szCs w:val="28"/>
                                <w:lang w:val="el-GR"/>
                              </w:rPr>
                              <w:t>σχέδιο και προσήλωση</w:t>
                            </w:r>
                            <w:r w:rsidRPr="0082001C">
                              <w:rPr>
                                <w:rFonts w:eastAsia="Times New Roman" w:cs="Calibri"/>
                                <w:b/>
                                <w:i/>
                                <w:color w:val="6691AB"/>
                                <w:sz w:val="28"/>
                                <w:szCs w:val="28"/>
                                <w:lang w:val="el-GR"/>
                              </w:rPr>
                              <w:t>, η Πειραιώς ολοκληρώνει το 2021</w:t>
                            </w:r>
                          </w:p>
                          <w:p w14:paraId="5A00E24A" w14:textId="263D1405" w:rsidR="00EA6E38" w:rsidRPr="00804FCB" w:rsidRDefault="00EA6E38" w:rsidP="006E51FD">
                            <w:pPr>
                              <w:pStyle w:val="ListParagraph"/>
                              <w:spacing w:line="216" w:lineRule="auto"/>
                              <w:ind w:left="-1259" w:right="-142"/>
                              <w:jc w:val="right"/>
                              <w:rPr>
                                <w:rFonts w:eastAsia="Times New Roman" w:cs="Calibri"/>
                                <w:b/>
                                <w:i/>
                                <w:color w:val="6691AB"/>
                                <w:sz w:val="28"/>
                                <w:szCs w:val="28"/>
                                <w:lang w:val="el-GR"/>
                              </w:rPr>
                            </w:pPr>
                            <w:r w:rsidRPr="0082001C">
                              <w:rPr>
                                <w:rFonts w:eastAsia="Times New Roman" w:cs="Calibri"/>
                                <w:b/>
                                <w:i/>
                                <w:color w:val="6691AB"/>
                                <w:sz w:val="28"/>
                                <w:szCs w:val="28"/>
                                <w:lang w:val="el-GR"/>
                              </w:rPr>
                              <w:t>έναν από τους μεγαλύτερους  τραπεζικούς μετασχηματισμούς στην Ευρώπη</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340ECA" id="_x0000_t202" coordsize="21600,21600" o:spt="202" path="m,l,21600r21600,l21600,xe">
                <v:stroke joinstyle="miter"/>
                <v:path gradientshapeok="t" o:connecttype="rect"/>
              </v:shapetype>
              <v:shape id="Text Box 2" o:spid="_x0000_s1026" type="#_x0000_t202" style="position:absolute;left:0;text-align:left;margin-left:0;margin-top:0;width:545.5pt;height:39.4pt;z-index:-2516439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" stroked="f">
                <v:textbox>
                  <w:txbxContent>
                    <w:p w14:paraId="19BB7A85" w14:textId="2DBD8FC3" w:rsidR="00EA6E38" w:rsidRPr="0082001C" w:rsidRDefault="00EA6E38" w:rsidP="006E51FD">
                      <w:pPr>
                        <w:pStyle w:val="ListParagraph"/>
                        <w:spacing w:line="216" w:lineRule="auto"/>
                        <w:ind w:left="-1259" w:right="-142"/>
                        <w:jc w:val="right"/>
                        <w:rPr>
                          <w:rFonts w:eastAsia="Times New Roman" w:cs="Calibri"/>
                          <w:b/>
                          <w:i/>
                          <w:color w:val="6691AB"/>
                          <w:sz w:val="28"/>
                          <w:szCs w:val="28"/>
                          <w:lang w:val="el-GR"/>
                        </w:rPr>
                      </w:pPr>
                      <w:r w:rsidRPr="0082001C">
                        <w:rPr>
                          <w:rFonts w:eastAsia="Times New Roman" w:cs="Calibri"/>
                          <w:b/>
                          <w:i/>
                          <w:color w:val="6691AB"/>
                          <w:sz w:val="28"/>
                          <w:szCs w:val="28"/>
                          <w:lang w:val="el-GR"/>
                        </w:rPr>
                        <w:t xml:space="preserve">Με </w:t>
                      </w:r>
                      <w:r>
                        <w:rPr>
                          <w:rFonts w:eastAsia="Times New Roman" w:cs="Calibri"/>
                          <w:b/>
                          <w:i/>
                          <w:color w:val="6691AB"/>
                          <w:sz w:val="28"/>
                          <w:szCs w:val="28"/>
                          <w:lang w:val="el-GR"/>
                        </w:rPr>
                        <w:t>σχέδιο και προσήλωση</w:t>
                      </w:r>
                      <w:r w:rsidRPr="0082001C">
                        <w:rPr>
                          <w:rFonts w:eastAsia="Times New Roman" w:cs="Calibri"/>
                          <w:b/>
                          <w:i/>
                          <w:color w:val="6691AB"/>
                          <w:sz w:val="28"/>
                          <w:szCs w:val="28"/>
                          <w:lang w:val="el-GR"/>
                        </w:rPr>
                        <w:t>, η Πειραιώς ολοκληρώνει το 2021</w:t>
                      </w:r>
                    </w:p>
                    <w:p w14:paraId="5A00E24A" w14:textId="263D1405" w:rsidR="00EA6E38" w:rsidRPr="00804FCB" w:rsidRDefault="00EA6E38" w:rsidP="006E51FD">
                      <w:pPr>
                        <w:pStyle w:val="ListParagraph"/>
                        <w:spacing w:line="216" w:lineRule="auto"/>
                        <w:ind w:left="-1259" w:right="-142"/>
                        <w:jc w:val="right"/>
                        <w:rPr>
                          <w:rFonts w:eastAsia="Times New Roman" w:cs="Calibri"/>
                          <w:b/>
                          <w:i/>
                          <w:color w:val="6691AB"/>
                          <w:sz w:val="28"/>
                          <w:szCs w:val="28"/>
                          <w:lang w:val="el-GR"/>
                        </w:rPr>
                      </w:pPr>
                      <w:r w:rsidRPr="0082001C">
                        <w:rPr>
                          <w:rFonts w:eastAsia="Times New Roman" w:cs="Calibri"/>
                          <w:b/>
                          <w:i/>
                          <w:color w:val="6691AB"/>
                          <w:sz w:val="28"/>
                          <w:szCs w:val="28"/>
                          <w:lang w:val="el-GR"/>
                        </w:rPr>
                        <w:t>έναν από τους μεγαλύτερους  τραπεζικούς μετασχηματισμούς στην Ευρώπη</w:t>
                      </w:r>
                    </w:p>
                  </w:txbxContent>
                </v:textbox>
                <w10:wrap type="tight" anchorx="page"/>
              </v:shape>
            </w:pict>
          </mc:Fallback>
        </mc:AlternateContent>
      </w:r>
      <w:r w:rsidR="00265ADC" w:rsidRPr="00AB10AB">
        <w:rPr>
          <w:rFonts w:eastAsia="Times New Roman" w:cs="Calibri"/>
          <w:b/>
          <w:noProof/>
          <w:color w:val="6691AB"/>
          <w:sz w:val="28"/>
          <w:szCs w:val="28"/>
          <w:lang w:eastAsia="el-GR"/>
        </w:rPr>
        <mc:AlternateContent>
          <mc:Choice Requires="wps">
            <w:drawing>
              <wp:anchor distT="0" distB="0" distL="114300" distR="114300" simplePos="0" relativeHeight="251694080" behindDoc="0" locked="0" layoutInCell="1" allowOverlap="1" wp14:anchorId="696169ED" wp14:editId="5A403B7F">
                <wp:simplePos x="0" y="0"/>
                <wp:positionH relativeFrom="column">
                  <wp:posOffset>3810474</wp:posOffset>
                </wp:positionH>
                <wp:positionV relativeFrom="paragraph">
                  <wp:posOffset>521970</wp:posOffset>
                </wp:positionV>
                <wp:extent cx="1229995" cy="78740"/>
                <wp:effectExtent l="0" t="0" r="8255" b="0"/>
                <wp:wrapNone/>
                <wp:docPr id="8" name="Rectangle 101" descr="Accent bar right&#10;">
                  <a:extLst xmlns:a="http://schemas.openxmlformats.org/drawingml/2006/main">
                    <a:ext uri="{FF2B5EF4-FFF2-40B4-BE49-F238E27FC236}">
                      <a16:creationId xmlns:a16="http://schemas.microsoft.com/office/drawing/2014/main" id="{A7CD04AE-9A8B-4DED-855D-F51B510D0B69}"/>
                    </a:ext>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29995" cy="78740"/>
                        </a:xfrm>
                        <a:prstGeom prst="rect">
                          <a:avLst/>
                        </a:prstGeom>
                        <a:solidFill>
                          <a:srgbClr val="6691AB"/>
                        </a:solidFill>
                        <a:ln w="12700" cap="flat" cmpd="sng" algn="ctr">
                          <a:noFill/>
                          <a:prstDash val="solid"/>
                          <a:miter lim="800000"/>
                        </a:ln>
                        <a:effectLst/>
                      </wps:spPr>
                      <wps:bodyPr rtlCol="0" anchor="ctr"/>
                    </wps:wsp>
                  </a:graphicData>
                </a:graphic>
              </wp:anchor>
            </w:drawing>
          </mc:Choice>
          <mc:Fallback>
            <w:pict>
              <v:rect w14:anchorId="23237573" id="Rectangle 101" o:spid="_x0000_s1026" alt="Accent bar right&#10;" style="position:absolute;margin-left:300.05pt;margin-top:41.1pt;width:96.85pt;height:6.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" fillcolor="#6691ab" stroked="f" strokeweight="1pt"/>
            </w:pict>
          </mc:Fallback>
        </mc:AlternateContent>
      </w:r>
      <w:r w:rsidR="00265ADC" w:rsidRPr="007A419D">
        <w:rPr>
          <w:rFonts w:eastAsia="Times New Roman" w:cs="Calibri"/>
          <w:b/>
          <w:noProof/>
          <w:color w:val="FF0000"/>
          <w:sz w:val="28"/>
          <w:szCs w:val="28"/>
          <w:lang w:eastAsia="el-GR"/>
        </w:rPr>
        <mc:AlternateContent>
          <mc:Choice Requires="wps">
            <w:drawing>
              <wp:anchor distT="0" distB="0" distL="114300" distR="114300" simplePos="0" relativeHeight="251671551" behindDoc="1" locked="0" layoutInCell="1" allowOverlap="1" wp14:anchorId="11F3AEDD" wp14:editId="460272F3">
                <wp:simplePos x="0" y="0"/>
                <wp:positionH relativeFrom="page">
                  <wp:align>left</wp:align>
                </wp:positionH>
                <wp:positionV relativeFrom="paragraph">
                  <wp:posOffset>549910</wp:posOffset>
                </wp:positionV>
                <wp:extent cx="6923405" cy="7433945"/>
                <wp:effectExtent l="0" t="0" r="0" b="0"/>
                <wp:wrapTight wrapText="bothSides">
                  <wp:wrapPolygon edited="0">
                    <wp:start x="0" y="0"/>
                    <wp:lineTo x="0" y="21532"/>
                    <wp:lineTo x="21515" y="21532"/>
                    <wp:lineTo x="21515" y="0"/>
                    <wp:lineTo x="0" y="0"/>
                  </wp:wrapPolygon>
                </wp:wrapTight>
                <wp:docPr id="18"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23405" cy="7433945"/>
                        </a:xfrm>
                        <a:prstGeom prst="rect">
                          <a:avLst/>
                        </a:prstGeom>
                        <a:solidFill>
                          <a:srgbClr val="E6E6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13D8A" w14:textId="77777777" w:rsidR="00EA6E38" w:rsidRPr="00E1370A" w:rsidRDefault="00EA6E38" w:rsidP="00E1370A">
                            <w:pPr>
                              <w:pStyle w:val="ListParagraph"/>
                              <w:tabs>
                                <w:tab w:val="left" w:pos="5040"/>
                                <w:tab w:val="left" w:pos="10348"/>
                              </w:tabs>
                              <w:ind w:left="2552" w:right="258"/>
                              <w:contextualSpacing w:val="0"/>
                              <w:rPr>
                                <w:rFonts w:cs="Calibri"/>
                                <w:b/>
                                <w:color w:val="6691AB"/>
                                <w:sz w:val="10"/>
                                <w:szCs w:val="20"/>
                                <w:lang w:val="el-GR"/>
                              </w:rPr>
                            </w:pPr>
                          </w:p>
                          <w:p w14:paraId="5217FF68" w14:textId="77777777" w:rsidR="00EA6E38" w:rsidRDefault="00EA6E38" w:rsidP="00E1370A">
                            <w:pPr>
                              <w:pStyle w:val="ListParagraph"/>
                              <w:tabs>
                                <w:tab w:val="left" w:pos="5040"/>
                                <w:tab w:val="left" w:pos="10348"/>
                              </w:tabs>
                              <w:ind w:left="1985" w:right="258"/>
                              <w:contextualSpacing w:val="0"/>
                              <w:rPr>
                                <w:rFonts w:cs="Calibri"/>
                                <w:b/>
                                <w:color w:val="6691AB"/>
                                <w:szCs w:val="20"/>
                                <w:lang w:val="el-GR"/>
                              </w:rPr>
                            </w:pPr>
                          </w:p>
                          <w:p w14:paraId="2009A83B" w14:textId="54085C90" w:rsidR="00EA6E38" w:rsidRDefault="00EA6E38" w:rsidP="00E1370A">
                            <w:pPr>
                              <w:pStyle w:val="ListParagraph"/>
                              <w:tabs>
                                <w:tab w:val="left" w:pos="5040"/>
                                <w:tab w:val="left" w:pos="10348"/>
                              </w:tabs>
                              <w:ind w:left="1985" w:right="258"/>
                              <w:contextualSpacing w:val="0"/>
                              <w:rPr>
                                <w:rFonts w:cs="Calibri"/>
                                <w:b/>
                                <w:color w:val="6691AB"/>
                                <w:szCs w:val="20"/>
                                <w:lang w:val="el-GR"/>
                              </w:rPr>
                            </w:pPr>
                          </w:p>
                          <w:p w14:paraId="5FD3ECCF" w14:textId="77777777" w:rsidR="00EA6E38" w:rsidRDefault="00EA6E38" w:rsidP="00E1370A">
                            <w:pPr>
                              <w:pStyle w:val="ListParagraph"/>
                              <w:tabs>
                                <w:tab w:val="left" w:pos="5040"/>
                                <w:tab w:val="left" w:pos="10348"/>
                              </w:tabs>
                              <w:ind w:left="1985" w:right="258"/>
                              <w:contextualSpacing w:val="0"/>
                              <w:rPr>
                                <w:rFonts w:cs="Calibri"/>
                                <w:b/>
                                <w:color w:val="6691AB"/>
                                <w:szCs w:val="20"/>
                                <w:lang w:val="el-GR"/>
                              </w:rPr>
                            </w:pPr>
                          </w:p>
                          <w:p w14:paraId="6F0E3EF3" w14:textId="26ED5BEF" w:rsidR="00EA6E38" w:rsidRDefault="00EA6E38" w:rsidP="00E1370A">
                            <w:pPr>
                              <w:pStyle w:val="ListParagraph"/>
                              <w:tabs>
                                <w:tab w:val="left" w:pos="5040"/>
                                <w:tab w:val="left" w:pos="10348"/>
                              </w:tabs>
                              <w:ind w:left="1985" w:right="258"/>
                              <w:contextualSpacing w:val="0"/>
                              <w:rPr>
                                <w:rFonts w:cs="Calibri"/>
                                <w:b/>
                                <w:color w:val="6691AB"/>
                                <w:szCs w:val="20"/>
                                <w:lang w:val="el-GR"/>
                              </w:rPr>
                            </w:pPr>
                            <w:r w:rsidRPr="00AE4B81">
                              <w:rPr>
                                <w:rFonts w:cs="Calibri"/>
                                <w:b/>
                                <w:color w:val="6691AB"/>
                                <w:szCs w:val="20"/>
                                <w:lang w:val="el-GR"/>
                              </w:rPr>
                              <w:t>Δέκα «</w:t>
                            </w:r>
                            <w:r>
                              <w:rPr>
                                <w:rFonts w:cs="Calibri"/>
                                <w:b/>
                                <w:color w:val="6691AB"/>
                                <w:szCs w:val="20"/>
                                <w:lang w:val="el-GR"/>
                              </w:rPr>
                              <w:t>επιτεύγματα</w:t>
                            </w:r>
                            <w:r w:rsidRPr="00AE4B81">
                              <w:rPr>
                                <w:rFonts w:cs="Calibri"/>
                                <w:b/>
                                <w:color w:val="6691AB"/>
                                <w:szCs w:val="20"/>
                                <w:lang w:val="el-GR"/>
                              </w:rPr>
                              <w:t xml:space="preserve">» που </w:t>
                            </w:r>
                            <w:r>
                              <w:rPr>
                                <w:rFonts w:cs="Calibri"/>
                                <w:b/>
                                <w:color w:val="6691AB"/>
                                <w:szCs w:val="20"/>
                                <w:lang w:val="el-GR"/>
                              </w:rPr>
                              <w:t>αποδεικνύουν έμπρακτα</w:t>
                            </w:r>
                            <w:r w:rsidRPr="00AE4B81">
                              <w:rPr>
                                <w:rFonts w:cs="Calibri"/>
                                <w:b/>
                                <w:color w:val="6691AB"/>
                                <w:szCs w:val="20"/>
                                <w:lang w:val="el-GR"/>
                              </w:rPr>
                              <w:t xml:space="preserve"> </w:t>
                            </w:r>
                            <w:r>
                              <w:rPr>
                                <w:rFonts w:cs="Calibri"/>
                                <w:b/>
                                <w:color w:val="6691AB"/>
                                <w:szCs w:val="20"/>
                                <w:lang w:val="el-GR"/>
                              </w:rPr>
                              <w:t xml:space="preserve">το ηγετικό προφίλ </w:t>
                            </w:r>
                            <w:r w:rsidRPr="00AE4B81">
                              <w:rPr>
                                <w:rFonts w:cs="Calibri"/>
                                <w:b/>
                                <w:color w:val="6691AB"/>
                                <w:szCs w:val="20"/>
                                <w:lang w:val="el-GR"/>
                              </w:rPr>
                              <w:t xml:space="preserve">της </w:t>
                            </w:r>
                            <w:r>
                              <w:rPr>
                                <w:rFonts w:cs="Calibri"/>
                                <w:b/>
                                <w:color w:val="6691AB"/>
                                <w:szCs w:val="20"/>
                                <w:lang w:val="el-GR"/>
                              </w:rPr>
                              <w:t>Π</w:t>
                            </w:r>
                            <w:r w:rsidRPr="00CC5C78">
                              <w:rPr>
                                <w:rFonts w:cs="Calibri"/>
                                <w:b/>
                                <w:color w:val="6691AB"/>
                                <w:szCs w:val="20"/>
                                <w:lang w:val="el-GR"/>
                              </w:rPr>
                              <w:t>ειραιώς</w:t>
                            </w:r>
                          </w:p>
                          <w:p w14:paraId="7AECB889" w14:textId="77777777" w:rsidR="00EA6E38" w:rsidRDefault="00EA6E38" w:rsidP="00E1370A">
                            <w:pPr>
                              <w:pStyle w:val="ListParagraph"/>
                              <w:tabs>
                                <w:tab w:val="left" w:pos="5040"/>
                                <w:tab w:val="left" w:pos="10348"/>
                              </w:tabs>
                              <w:ind w:left="1985" w:right="258"/>
                              <w:contextualSpacing w:val="0"/>
                              <w:rPr>
                                <w:rFonts w:cs="Calibri"/>
                                <w:b/>
                                <w:color w:val="6691AB"/>
                                <w:szCs w:val="20"/>
                                <w:lang w:val="el-GR"/>
                              </w:rPr>
                            </w:pPr>
                          </w:p>
                          <w:p w14:paraId="563257E2" w14:textId="27FEA50A" w:rsidR="00EA6E38" w:rsidRPr="00E1370A" w:rsidRDefault="00EA6E38" w:rsidP="00E1370A">
                            <w:pPr>
                              <w:pStyle w:val="ListParagraph"/>
                              <w:tabs>
                                <w:tab w:val="left" w:pos="5040"/>
                                <w:tab w:val="left" w:pos="10348"/>
                              </w:tabs>
                              <w:ind w:left="1985" w:right="258"/>
                              <w:contextualSpacing w:val="0"/>
                              <w:rPr>
                                <w:rFonts w:cs="Calibri"/>
                                <w:b/>
                                <w:color w:val="6691AB"/>
                                <w:sz w:val="14"/>
                                <w:szCs w:val="20"/>
                                <w:lang w:val="el-GR"/>
                              </w:rPr>
                            </w:pPr>
                            <w:r w:rsidRPr="00CC5C78">
                              <w:rPr>
                                <w:rFonts w:cs="Calibri"/>
                                <w:b/>
                                <w:color w:val="6691AB"/>
                                <w:szCs w:val="20"/>
                                <w:lang w:val="el-GR"/>
                              </w:rPr>
                              <w:t xml:space="preserve">  </w:t>
                            </w:r>
                          </w:p>
                          <w:p w14:paraId="64626FA3" w14:textId="1DF4FCB7" w:rsidR="00EA6E38" w:rsidRDefault="00EA6E38" w:rsidP="00347470">
                            <w:pPr>
                              <w:pStyle w:val="ListParagraph"/>
                              <w:numPr>
                                <w:ilvl w:val="0"/>
                                <w:numId w:val="37"/>
                              </w:numPr>
                              <w:tabs>
                                <w:tab w:val="left" w:pos="10348"/>
                              </w:tabs>
                              <w:spacing w:after="80" w:line="276" w:lineRule="auto"/>
                              <w:ind w:left="2268" w:right="255" w:hanging="357"/>
                              <w:contextualSpacing w:val="0"/>
                              <w:jc w:val="both"/>
                              <w:rPr>
                                <w:rFonts w:cs="Calibri"/>
                                <w:sz w:val="20"/>
                                <w:szCs w:val="20"/>
                                <w:lang w:val="el-GR"/>
                              </w:rPr>
                            </w:pPr>
                            <w:r w:rsidRPr="00756570">
                              <w:rPr>
                                <w:rFonts w:cs="Calibri"/>
                                <w:b/>
                                <w:sz w:val="20"/>
                                <w:szCs w:val="20"/>
                                <w:lang w:val="el-GR"/>
                              </w:rPr>
                              <w:t>Αύξηση Μετοχικού Κεφαλαίου</w:t>
                            </w:r>
                            <w:r w:rsidRPr="00CC5C78">
                              <w:rPr>
                                <w:rFonts w:cs="Calibri"/>
                                <w:sz w:val="20"/>
                                <w:szCs w:val="20"/>
                                <w:lang w:val="el-GR"/>
                              </w:rPr>
                              <w:t xml:space="preserve"> – 1η Τράπεζα που πραγματοποίησε αύξηση μετοχικού κεφαλαίου μετά την κρίση στις αρχές του 2021, </w:t>
                            </w:r>
                            <w:r>
                              <w:rPr>
                                <w:rFonts w:cs="Calibri"/>
                                <w:sz w:val="20"/>
                                <w:szCs w:val="20"/>
                                <w:lang w:val="el-GR"/>
                              </w:rPr>
                              <w:t xml:space="preserve">προσελκύοντας διεθνή κεφάλαια και </w:t>
                            </w:r>
                            <w:r w:rsidRPr="00CC5C78">
                              <w:rPr>
                                <w:rFonts w:cs="Calibri"/>
                                <w:sz w:val="20"/>
                                <w:szCs w:val="20"/>
                                <w:lang w:val="el-GR"/>
                              </w:rPr>
                              <w:t xml:space="preserve">ανοίγοντας τον δρόμο για την </w:t>
                            </w:r>
                            <w:r>
                              <w:rPr>
                                <w:rFonts w:cs="Calibri"/>
                                <w:sz w:val="20"/>
                                <w:szCs w:val="20"/>
                                <w:lang w:val="el-GR"/>
                              </w:rPr>
                              <w:t>αναβάθμιση</w:t>
                            </w:r>
                            <w:r w:rsidRPr="00CC5C78">
                              <w:rPr>
                                <w:rFonts w:cs="Calibri"/>
                                <w:sz w:val="20"/>
                                <w:szCs w:val="20"/>
                                <w:lang w:val="el-GR"/>
                              </w:rPr>
                              <w:t xml:space="preserve"> του κλάδου</w:t>
                            </w:r>
                          </w:p>
                          <w:p w14:paraId="2F61A7B1" w14:textId="4DB8CE6E" w:rsidR="00EA6E38" w:rsidRPr="00756570" w:rsidRDefault="00EA6E38" w:rsidP="00347470">
                            <w:pPr>
                              <w:pStyle w:val="ListParagraph"/>
                              <w:numPr>
                                <w:ilvl w:val="0"/>
                                <w:numId w:val="37"/>
                              </w:numPr>
                              <w:tabs>
                                <w:tab w:val="left" w:pos="10348"/>
                              </w:tabs>
                              <w:spacing w:after="80" w:line="276" w:lineRule="auto"/>
                              <w:ind w:left="2268" w:right="255" w:hanging="357"/>
                              <w:contextualSpacing w:val="0"/>
                              <w:jc w:val="both"/>
                              <w:rPr>
                                <w:rFonts w:cs="Calibri"/>
                                <w:sz w:val="20"/>
                                <w:szCs w:val="20"/>
                                <w:lang w:val="el-GR"/>
                              </w:rPr>
                            </w:pPr>
                            <w:r w:rsidRPr="00756570">
                              <w:rPr>
                                <w:rFonts w:cs="Calibri"/>
                                <w:b/>
                                <w:sz w:val="20"/>
                                <w:szCs w:val="20"/>
                                <w:lang w:val="el-GR"/>
                              </w:rPr>
                              <w:t xml:space="preserve">Έκδοση Ομολόγου </w:t>
                            </w:r>
                            <w:r w:rsidRPr="00756570">
                              <w:rPr>
                                <w:rFonts w:cs="Calibri"/>
                                <w:b/>
                                <w:sz w:val="20"/>
                                <w:szCs w:val="20"/>
                              </w:rPr>
                              <w:t>Tier</w:t>
                            </w:r>
                            <w:r w:rsidRPr="00756570">
                              <w:rPr>
                                <w:rFonts w:cs="Calibri"/>
                                <w:b/>
                                <w:sz w:val="20"/>
                                <w:szCs w:val="20"/>
                                <w:lang w:val="el-GR"/>
                              </w:rPr>
                              <w:t xml:space="preserve"> 2</w:t>
                            </w:r>
                            <w:r w:rsidRPr="00756570">
                              <w:rPr>
                                <w:rFonts w:cs="Calibri"/>
                                <w:sz w:val="20"/>
                                <w:szCs w:val="20"/>
                                <w:lang w:val="el-GR"/>
                              </w:rPr>
                              <w:t xml:space="preserve"> – 1η έκδοση ομολόγου </w:t>
                            </w:r>
                            <w:r w:rsidRPr="00756570">
                              <w:rPr>
                                <w:rFonts w:cs="Calibri"/>
                                <w:sz w:val="20"/>
                                <w:szCs w:val="20"/>
                              </w:rPr>
                              <w:t>Tier</w:t>
                            </w:r>
                            <w:r w:rsidRPr="00756570">
                              <w:rPr>
                                <w:rFonts w:cs="Calibri"/>
                                <w:sz w:val="20"/>
                                <w:szCs w:val="20"/>
                                <w:lang w:val="el-GR"/>
                              </w:rPr>
                              <w:t xml:space="preserve"> 2 στην Ελλάδα, στα μέσα του 2019, μετά από </w:t>
                            </w:r>
                            <w:r>
                              <w:rPr>
                                <w:rFonts w:cs="Calibri"/>
                                <w:sz w:val="20"/>
                                <w:szCs w:val="20"/>
                                <w:lang w:val="el-GR"/>
                              </w:rPr>
                              <w:t>πάνω από δέκα έτη</w:t>
                            </w:r>
                          </w:p>
                          <w:p w14:paraId="506B0538" w14:textId="527DB554" w:rsidR="00EA6E38" w:rsidRPr="00756570" w:rsidRDefault="00EA6E38" w:rsidP="00347470">
                            <w:pPr>
                              <w:pStyle w:val="ListParagraph"/>
                              <w:numPr>
                                <w:ilvl w:val="0"/>
                                <w:numId w:val="37"/>
                              </w:numPr>
                              <w:tabs>
                                <w:tab w:val="left" w:pos="10348"/>
                              </w:tabs>
                              <w:spacing w:after="80" w:line="276" w:lineRule="auto"/>
                              <w:ind w:left="2268" w:right="255" w:hanging="357"/>
                              <w:contextualSpacing w:val="0"/>
                              <w:jc w:val="both"/>
                              <w:rPr>
                                <w:rFonts w:cs="Calibri"/>
                                <w:sz w:val="20"/>
                                <w:szCs w:val="20"/>
                                <w:lang w:val="el-GR"/>
                              </w:rPr>
                            </w:pPr>
                            <w:r w:rsidRPr="00756570">
                              <w:rPr>
                                <w:rFonts w:cs="Calibri"/>
                                <w:b/>
                                <w:sz w:val="20"/>
                                <w:szCs w:val="20"/>
                                <w:lang w:val="el-GR"/>
                              </w:rPr>
                              <w:t>Έκδοση Ομολόγου Α</w:t>
                            </w:r>
                            <w:r w:rsidRPr="00756570">
                              <w:rPr>
                                <w:rFonts w:cs="Calibri"/>
                                <w:b/>
                                <w:sz w:val="20"/>
                                <w:szCs w:val="20"/>
                              </w:rPr>
                              <w:t>T</w:t>
                            </w:r>
                            <w:r w:rsidRPr="00756570">
                              <w:rPr>
                                <w:rFonts w:cs="Calibri"/>
                                <w:b/>
                                <w:sz w:val="20"/>
                                <w:szCs w:val="20"/>
                                <w:lang w:val="el-GR"/>
                              </w:rPr>
                              <w:t>1</w:t>
                            </w:r>
                            <w:r w:rsidRPr="00756570">
                              <w:rPr>
                                <w:rFonts w:cs="Calibri"/>
                                <w:sz w:val="20"/>
                                <w:szCs w:val="20"/>
                                <w:lang w:val="el-GR"/>
                              </w:rPr>
                              <w:t xml:space="preserve"> – 1η έκδοση ομολόγου </w:t>
                            </w:r>
                            <w:r>
                              <w:rPr>
                                <w:rFonts w:cs="Calibri"/>
                                <w:sz w:val="20"/>
                                <w:szCs w:val="20"/>
                              </w:rPr>
                              <w:t>Additional</w:t>
                            </w:r>
                            <w:r w:rsidRPr="00756570">
                              <w:rPr>
                                <w:rFonts w:cs="Calibri"/>
                                <w:sz w:val="20"/>
                                <w:szCs w:val="20"/>
                                <w:lang w:val="el-GR"/>
                              </w:rPr>
                              <w:t xml:space="preserve"> </w:t>
                            </w:r>
                            <w:r w:rsidRPr="00756570">
                              <w:rPr>
                                <w:rFonts w:cs="Calibri"/>
                                <w:sz w:val="20"/>
                                <w:szCs w:val="20"/>
                              </w:rPr>
                              <w:t>Tier</w:t>
                            </w:r>
                            <w:r w:rsidRPr="00756570">
                              <w:rPr>
                                <w:rFonts w:cs="Calibri"/>
                                <w:sz w:val="20"/>
                                <w:szCs w:val="20"/>
                                <w:lang w:val="el-GR"/>
                              </w:rPr>
                              <w:t xml:space="preserve"> 1 στην Ελλάδα,</w:t>
                            </w:r>
                            <w:r>
                              <w:rPr>
                                <w:rFonts w:cs="Calibri"/>
                                <w:sz w:val="20"/>
                                <w:szCs w:val="20"/>
                                <w:lang w:val="el-GR"/>
                              </w:rPr>
                              <w:t xml:space="preserve"> στα μέσα του 2021</w:t>
                            </w:r>
                            <w:r w:rsidRPr="00756570">
                              <w:rPr>
                                <w:rFonts w:cs="Calibri"/>
                                <w:sz w:val="20"/>
                                <w:szCs w:val="20"/>
                                <w:lang w:val="el-GR"/>
                              </w:rPr>
                              <w:t xml:space="preserve">, μετά </w:t>
                            </w:r>
                            <w:r>
                              <w:rPr>
                                <w:rFonts w:cs="Calibri"/>
                                <w:sz w:val="20"/>
                                <w:szCs w:val="20"/>
                                <w:lang w:val="el-GR"/>
                              </w:rPr>
                              <w:t>από πάνω από δέ</w:t>
                            </w:r>
                            <w:r w:rsidR="007B52A8">
                              <w:rPr>
                                <w:rFonts w:cs="Calibri"/>
                                <w:sz w:val="20"/>
                                <w:szCs w:val="20"/>
                                <w:lang w:val="el-GR"/>
                              </w:rPr>
                              <w:t>κ</w:t>
                            </w:r>
                            <w:bookmarkStart w:id="0" w:name="_GoBack"/>
                            <w:bookmarkEnd w:id="0"/>
                            <w:r>
                              <w:rPr>
                                <w:rFonts w:cs="Calibri"/>
                                <w:sz w:val="20"/>
                                <w:szCs w:val="20"/>
                                <w:lang w:val="el-GR"/>
                              </w:rPr>
                              <w:t>α έτη</w:t>
                            </w:r>
                          </w:p>
                          <w:p w14:paraId="34B41FF8" w14:textId="4C451361" w:rsidR="00EA6E38" w:rsidRDefault="00EA6E38" w:rsidP="00347470">
                            <w:pPr>
                              <w:pStyle w:val="ListParagraph"/>
                              <w:numPr>
                                <w:ilvl w:val="0"/>
                                <w:numId w:val="37"/>
                              </w:numPr>
                              <w:tabs>
                                <w:tab w:val="left" w:pos="10348"/>
                              </w:tabs>
                              <w:spacing w:after="80" w:line="276" w:lineRule="auto"/>
                              <w:ind w:left="2268" w:right="255" w:hanging="357"/>
                              <w:contextualSpacing w:val="0"/>
                              <w:jc w:val="both"/>
                              <w:rPr>
                                <w:rFonts w:cs="Calibri"/>
                                <w:sz w:val="20"/>
                                <w:szCs w:val="20"/>
                                <w:lang w:val="el-GR"/>
                              </w:rPr>
                            </w:pPr>
                            <w:r w:rsidRPr="00756570">
                              <w:rPr>
                                <w:rFonts w:cs="Calibri"/>
                                <w:b/>
                                <w:sz w:val="20"/>
                                <w:szCs w:val="20"/>
                                <w:lang w:val="el-GR"/>
                              </w:rPr>
                              <w:t>Μείωση ΝΡΕ</w:t>
                            </w:r>
                            <w:r w:rsidRPr="00756570">
                              <w:rPr>
                                <w:rFonts w:cs="Calibri"/>
                                <w:sz w:val="20"/>
                                <w:szCs w:val="20"/>
                                <w:lang w:val="el-GR"/>
                              </w:rPr>
                              <w:t xml:space="preserve"> – Μείωση </w:t>
                            </w:r>
                            <w:r w:rsidRPr="00756570">
                              <w:rPr>
                                <w:rFonts w:cs="Calibri"/>
                                <w:sz w:val="20"/>
                                <w:szCs w:val="20"/>
                              </w:rPr>
                              <w:t>NPE</w:t>
                            </w:r>
                            <w:r w:rsidRPr="00756570">
                              <w:rPr>
                                <w:rFonts w:cs="Calibri"/>
                                <w:sz w:val="20"/>
                                <w:szCs w:val="20"/>
                                <w:lang w:val="el-GR"/>
                              </w:rPr>
                              <w:t xml:space="preserve"> ύψους €19 δισ. τους τελευταίους 12 μήνες, πραγματοποιώντας τη μεγαλύτερ</w:t>
                            </w:r>
                            <w:r>
                              <w:rPr>
                                <w:rFonts w:cs="Calibri"/>
                                <w:sz w:val="20"/>
                                <w:szCs w:val="20"/>
                                <w:lang w:val="el-GR"/>
                              </w:rPr>
                              <w:t xml:space="preserve">η, στον κλάδο, </w:t>
                            </w:r>
                            <w:r w:rsidRPr="00756570">
                              <w:rPr>
                                <w:rFonts w:cs="Calibri"/>
                                <w:sz w:val="20"/>
                                <w:szCs w:val="20"/>
                                <w:lang w:val="el-GR"/>
                              </w:rPr>
                              <w:t xml:space="preserve">χρήση </w:t>
                            </w:r>
                            <w:r>
                              <w:rPr>
                                <w:rFonts w:cs="Calibri"/>
                                <w:sz w:val="20"/>
                                <w:szCs w:val="20"/>
                                <w:lang w:val="el-GR"/>
                              </w:rPr>
                              <w:t xml:space="preserve">εγγυήσεων </w:t>
                            </w:r>
                            <w:r w:rsidRPr="00756570">
                              <w:rPr>
                                <w:rFonts w:cs="Calibri"/>
                                <w:sz w:val="20"/>
                                <w:szCs w:val="20"/>
                                <w:lang w:val="el-GR"/>
                              </w:rPr>
                              <w:t xml:space="preserve">μέσω του προγράμματος </w:t>
                            </w:r>
                            <w:r>
                              <w:rPr>
                                <w:rFonts w:cs="Calibri"/>
                                <w:sz w:val="20"/>
                                <w:szCs w:val="20"/>
                                <w:lang w:val="el-GR"/>
                              </w:rPr>
                              <w:t>Ηρακλής</w:t>
                            </w:r>
                          </w:p>
                          <w:p w14:paraId="7D3B32C6" w14:textId="77777777" w:rsidR="00EA6E38" w:rsidRPr="00555467" w:rsidRDefault="00EA6E38" w:rsidP="00347470">
                            <w:pPr>
                              <w:pStyle w:val="ListParagraph"/>
                              <w:numPr>
                                <w:ilvl w:val="0"/>
                                <w:numId w:val="37"/>
                              </w:numPr>
                              <w:tabs>
                                <w:tab w:val="left" w:pos="10348"/>
                              </w:tabs>
                              <w:spacing w:after="80" w:line="276" w:lineRule="auto"/>
                              <w:ind w:left="2268" w:right="255" w:hanging="357"/>
                              <w:contextualSpacing w:val="0"/>
                              <w:jc w:val="both"/>
                              <w:rPr>
                                <w:rFonts w:cs="Calibri"/>
                                <w:sz w:val="20"/>
                                <w:szCs w:val="20"/>
                                <w:lang w:val="el-GR"/>
                              </w:rPr>
                            </w:pPr>
                            <w:r w:rsidRPr="00555467">
                              <w:rPr>
                                <w:rFonts w:cs="Calibri"/>
                                <w:b/>
                                <w:sz w:val="20"/>
                                <w:szCs w:val="20"/>
                                <w:lang w:val="el-GR"/>
                              </w:rPr>
                              <w:t xml:space="preserve">Διαχείριση </w:t>
                            </w:r>
                            <w:r w:rsidRPr="00756570">
                              <w:rPr>
                                <w:rFonts w:cs="Calibri"/>
                                <w:b/>
                                <w:sz w:val="20"/>
                                <w:szCs w:val="20"/>
                                <w:lang w:val="el-GR"/>
                              </w:rPr>
                              <w:t>ΝΡΕ</w:t>
                            </w:r>
                            <w:r w:rsidRPr="00555467">
                              <w:rPr>
                                <w:rFonts w:cs="Calibri"/>
                                <w:sz w:val="20"/>
                                <w:szCs w:val="20"/>
                                <w:lang w:val="el-GR"/>
                              </w:rPr>
                              <w:t xml:space="preserve"> – 1</w:t>
                            </w:r>
                            <w:r>
                              <w:rPr>
                                <w:rFonts w:cs="Calibri"/>
                                <w:sz w:val="20"/>
                                <w:szCs w:val="20"/>
                                <w:lang w:val="el-GR"/>
                              </w:rPr>
                              <w:t>η</w:t>
                            </w:r>
                            <w:r w:rsidRPr="00555467">
                              <w:rPr>
                                <w:rFonts w:cs="Calibri"/>
                                <w:sz w:val="20"/>
                                <w:szCs w:val="20"/>
                                <w:lang w:val="el-GR"/>
                              </w:rPr>
                              <w:t xml:space="preserve"> </w:t>
                            </w:r>
                            <w:r>
                              <w:rPr>
                                <w:rFonts w:cs="Calibri"/>
                                <w:sz w:val="20"/>
                                <w:szCs w:val="20"/>
                                <w:lang w:val="el-GR"/>
                              </w:rPr>
                              <w:t>τράπεζα</w:t>
                            </w:r>
                            <w:r w:rsidRPr="00555467">
                              <w:rPr>
                                <w:rFonts w:cs="Calibri"/>
                                <w:sz w:val="20"/>
                                <w:szCs w:val="20"/>
                                <w:lang w:val="el-GR"/>
                              </w:rPr>
                              <w:t xml:space="preserve"> </w:t>
                            </w:r>
                            <w:r>
                              <w:rPr>
                                <w:rFonts w:cs="Calibri"/>
                                <w:sz w:val="20"/>
                                <w:szCs w:val="20"/>
                                <w:lang w:val="el-GR"/>
                              </w:rPr>
                              <w:t>στην</w:t>
                            </w:r>
                            <w:r w:rsidRPr="00555467">
                              <w:rPr>
                                <w:rFonts w:cs="Calibri"/>
                                <w:sz w:val="20"/>
                                <w:szCs w:val="20"/>
                                <w:lang w:val="el-GR"/>
                              </w:rPr>
                              <w:t xml:space="preserve"> </w:t>
                            </w:r>
                            <w:r>
                              <w:rPr>
                                <w:rFonts w:cs="Calibri"/>
                                <w:sz w:val="20"/>
                                <w:szCs w:val="20"/>
                                <w:lang w:val="el-GR"/>
                              </w:rPr>
                              <w:t>Ελλάδα</w:t>
                            </w:r>
                            <w:r w:rsidRPr="00555467">
                              <w:rPr>
                                <w:rFonts w:cs="Calibri"/>
                                <w:sz w:val="20"/>
                                <w:szCs w:val="20"/>
                                <w:lang w:val="el-GR"/>
                              </w:rPr>
                              <w:t xml:space="preserve"> </w:t>
                            </w:r>
                            <w:r>
                              <w:rPr>
                                <w:rFonts w:cs="Calibri"/>
                                <w:sz w:val="20"/>
                                <w:szCs w:val="20"/>
                                <w:lang w:val="el-GR"/>
                              </w:rPr>
                              <w:t>που</w:t>
                            </w:r>
                            <w:r w:rsidRPr="00555467">
                              <w:rPr>
                                <w:rFonts w:cs="Calibri"/>
                                <w:sz w:val="20"/>
                                <w:szCs w:val="20"/>
                                <w:lang w:val="el-GR"/>
                              </w:rPr>
                              <w:t xml:space="preserve"> </w:t>
                            </w:r>
                            <w:r>
                              <w:rPr>
                                <w:rFonts w:cs="Calibri"/>
                                <w:sz w:val="20"/>
                                <w:szCs w:val="20"/>
                                <w:lang w:val="el-GR"/>
                              </w:rPr>
                              <w:t>προχώρησε</w:t>
                            </w:r>
                            <w:r w:rsidRPr="00555467">
                              <w:rPr>
                                <w:rFonts w:cs="Calibri"/>
                                <w:sz w:val="20"/>
                                <w:szCs w:val="20"/>
                                <w:lang w:val="el-GR"/>
                              </w:rPr>
                              <w:t xml:space="preserve"> </w:t>
                            </w:r>
                            <w:r>
                              <w:rPr>
                                <w:rFonts w:cs="Calibri"/>
                                <w:sz w:val="20"/>
                                <w:szCs w:val="20"/>
                                <w:lang w:val="el-GR"/>
                              </w:rPr>
                              <w:t>σε</w:t>
                            </w:r>
                            <w:r w:rsidRPr="00555467">
                              <w:rPr>
                                <w:rFonts w:cs="Calibri"/>
                                <w:sz w:val="20"/>
                                <w:szCs w:val="20"/>
                                <w:lang w:val="el-GR"/>
                              </w:rPr>
                              <w:t xml:space="preserve"> </w:t>
                            </w:r>
                            <w:r>
                              <w:rPr>
                                <w:rFonts w:cs="Calibri"/>
                                <w:sz w:val="20"/>
                                <w:szCs w:val="20"/>
                                <w:lang w:val="el-GR"/>
                              </w:rPr>
                              <w:t>στρατηγική</w:t>
                            </w:r>
                            <w:r w:rsidRPr="00555467">
                              <w:rPr>
                                <w:rFonts w:cs="Calibri"/>
                                <w:sz w:val="20"/>
                                <w:szCs w:val="20"/>
                                <w:lang w:val="el-GR"/>
                              </w:rPr>
                              <w:t xml:space="preserve"> </w:t>
                            </w:r>
                            <w:r>
                              <w:rPr>
                                <w:rFonts w:cs="Calibri"/>
                                <w:sz w:val="20"/>
                                <w:szCs w:val="20"/>
                                <w:lang w:val="el-GR"/>
                              </w:rPr>
                              <w:t xml:space="preserve">συνεργασία με ανεξάρτητο διαχειριστή </w:t>
                            </w:r>
                            <w:r>
                              <w:rPr>
                                <w:rFonts w:cs="Calibri"/>
                                <w:sz w:val="20"/>
                                <w:szCs w:val="20"/>
                              </w:rPr>
                              <w:t>NPE</w:t>
                            </w:r>
                            <w:r w:rsidRPr="00555467">
                              <w:rPr>
                                <w:rFonts w:cs="Calibri"/>
                                <w:sz w:val="20"/>
                                <w:szCs w:val="20"/>
                                <w:lang w:val="el-GR"/>
                              </w:rPr>
                              <w:t xml:space="preserve"> </w:t>
                            </w:r>
                            <w:r>
                              <w:rPr>
                                <w:rFonts w:cs="Calibri"/>
                                <w:sz w:val="20"/>
                                <w:szCs w:val="20"/>
                                <w:lang w:val="el-GR"/>
                              </w:rPr>
                              <w:t xml:space="preserve">στα μέσα του </w:t>
                            </w:r>
                            <w:r w:rsidRPr="00555467">
                              <w:rPr>
                                <w:rFonts w:cs="Calibri"/>
                                <w:sz w:val="20"/>
                                <w:szCs w:val="20"/>
                                <w:lang w:val="el-GR"/>
                              </w:rPr>
                              <w:t>2019</w:t>
                            </w:r>
                          </w:p>
                          <w:p w14:paraId="6317D348" w14:textId="3A72ED53" w:rsidR="00EA6E38" w:rsidRPr="00530F75" w:rsidRDefault="00EA6E38" w:rsidP="00347470">
                            <w:pPr>
                              <w:pStyle w:val="ListParagraph"/>
                              <w:numPr>
                                <w:ilvl w:val="0"/>
                                <w:numId w:val="37"/>
                              </w:numPr>
                              <w:tabs>
                                <w:tab w:val="left" w:pos="10348"/>
                              </w:tabs>
                              <w:spacing w:after="80" w:line="276" w:lineRule="auto"/>
                              <w:ind w:left="2268" w:right="255" w:hanging="357"/>
                              <w:contextualSpacing w:val="0"/>
                              <w:jc w:val="both"/>
                              <w:rPr>
                                <w:rFonts w:cs="Calibri"/>
                                <w:sz w:val="20"/>
                                <w:szCs w:val="20"/>
                                <w:lang w:val="el-GR"/>
                              </w:rPr>
                            </w:pPr>
                            <w:r w:rsidRPr="00530F75">
                              <w:rPr>
                                <w:rFonts w:cs="Calibri"/>
                                <w:b/>
                                <w:sz w:val="20"/>
                                <w:szCs w:val="20"/>
                                <w:lang w:val="el-GR"/>
                              </w:rPr>
                              <w:t>Πώληση Πλατφόρμας Αποδοχής Καρτών</w:t>
                            </w:r>
                            <w:r w:rsidRPr="00530F75">
                              <w:rPr>
                                <w:rFonts w:cs="Calibri"/>
                                <w:sz w:val="20"/>
                                <w:szCs w:val="20"/>
                                <w:lang w:val="el-GR"/>
                              </w:rPr>
                              <w:t xml:space="preserve"> – 1η Τράπεζα στην Ελλάδα που </w:t>
                            </w:r>
                            <w:r>
                              <w:rPr>
                                <w:rFonts w:cs="Calibri"/>
                                <w:sz w:val="20"/>
                                <w:szCs w:val="20"/>
                                <w:lang w:val="el-GR"/>
                              </w:rPr>
                              <w:t>συμφώνησε</w:t>
                            </w:r>
                            <w:r w:rsidRPr="00530F75">
                              <w:rPr>
                                <w:rFonts w:cs="Calibri"/>
                                <w:sz w:val="20"/>
                                <w:szCs w:val="20"/>
                                <w:lang w:val="el-GR"/>
                              </w:rPr>
                              <w:t xml:space="preserve"> </w:t>
                            </w:r>
                            <w:r>
                              <w:rPr>
                                <w:rFonts w:cs="Calibri"/>
                                <w:sz w:val="20"/>
                                <w:szCs w:val="20"/>
                                <w:lang w:val="el-GR"/>
                              </w:rPr>
                              <w:t xml:space="preserve">την </w:t>
                            </w:r>
                            <w:r w:rsidRPr="00530F75">
                              <w:rPr>
                                <w:rFonts w:cs="Calibri"/>
                                <w:sz w:val="20"/>
                                <w:szCs w:val="20"/>
                                <w:lang w:val="el-GR"/>
                              </w:rPr>
                              <w:t>απόσχιση και πώληση της πλατφόρμας αποδοχής καρτών</w:t>
                            </w:r>
                            <w:r>
                              <w:rPr>
                                <w:rFonts w:cs="Calibri"/>
                                <w:sz w:val="20"/>
                                <w:szCs w:val="20"/>
                                <w:lang w:val="el-GR"/>
                              </w:rPr>
                              <w:t>,</w:t>
                            </w:r>
                            <w:r w:rsidRPr="00530F75">
                              <w:rPr>
                                <w:rFonts w:cs="Calibri"/>
                                <w:sz w:val="20"/>
                                <w:szCs w:val="20"/>
                                <w:lang w:val="el-GR"/>
                              </w:rPr>
                              <w:t xml:space="preserve"> επιτυγχάνοντας υψηλό δείκτη απ</w:t>
                            </w:r>
                            <w:r>
                              <w:rPr>
                                <w:rFonts w:cs="Calibri"/>
                                <w:sz w:val="20"/>
                                <w:szCs w:val="20"/>
                                <w:lang w:val="el-GR"/>
                              </w:rPr>
                              <w:t>ο</w:t>
                            </w:r>
                            <w:r w:rsidRPr="00530F75">
                              <w:rPr>
                                <w:rFonts w:cs="Calibri"/>
                                <w:sz w:val="20"/>
                                <w:szCs w:val="20"/>
                                <w:lang w:val="el-GR"/>
                              </w:rPr>
                              <w:t xml:space="preserve">τίμησης </w:t>
                            </w:r>
                          </w:p>
                          <w:p w14:paraId="24116D04" w14:textId="77777777" w:rsidR="00EA6E38" w:rsidRDefault="00EA6E38" w:rsidP="00347470">
                            <w:pPr>
                              <w:pStyle w:val="ListParagraph"/>
                              <w:numPr>
                                <w:ilvl w:val="0"/>
                                <w:numId w:val="37"/>
                              </w:numPr>
                              <w:tabs>
                                <w:tab w:val="left" w:pos="10348"/>
                              </w:tabs>
                              <w:spacing w:after="80" w:line="276" w:lineRule="auto"/>
                              <w:ind w:left="2268" w:right="255" w:hanging="357"/>
                              <w:contextualSpacing w:val="0"/>
                              <w:jc w:val="both"/>
                              <w:rPr>
                                <w:rFonts w:cs="Calibri"/>
                                <w:sz w:val="20"/>
                                <w:szCs w:val="20"/>
                                <w:lang w:val="el-GR"/>
                              </w:rPr>
                            </w:pPr>
                            <w:r w:rsidRPr="00530F75">
                              <w:rPr>
                                <w:rFonts w:cs="Calibri"/>
                                <w:b/>
                                <w:sz w:val="20"/>
                                <w:szCs w:val="20"/>
                                <w:lang w:val="el-GR"/>
                              </w:rPr>
                              <w:t>Συνθετική Τιτλοποίηση</w:t>
                            </w:r>
                            <w:r w:rsidRPr="00530F75">
                              <w:rPr>
                                <w:rFonts w:cs="Calibri"/>
                                <w:sz w:val="20"/>
                                <w:szCs w:val="20"/>
                                <w:lang w:val="el-GR"/>
                              </w:rPr>
                              <w:t xml:space="preserve"> – 1η Τράπεζα στην Ελλάδα που προχώρησε σε συνθετική τιτλοποίηση χαρτοφυλακίου εξυπηρετούμενων δανείων στις αρχές του 2021</w:t>
                            </w:r>
                          </w:p>
                          <w:p w14:paraId="4B8FEF98" w14:textId="509C7EF9" w:rsidR="00EA6E38" w:rsidRPr="00530F75" w:rsidRDefault="00EA6E38" w:rsidP="00347470">
                            <w:pPr>
                              <w:pStyle w:val="ListParagraph"/>
                              <w:numPr>
                                <w:ilvl w:val="0"/>
                                <w:numId w:val="37"/>
                              </w:numPr>
                              <w:tabs>
                                <w:tab w:val="left" w:pos="10348"/>
                              </w:tabs>
                              <w:spacing w:after="80" w:line="276" w:lineRule="auto"/>
                              <w:ind w:left="2268" w:right="255" w:hanging="357"/>
                              <w:contextualSpacing w:val="0"/>
                              <w:jc w:val="both"/>
                              <w:rPr>
                                <w:rFonts w:cs="Calibri"/>
                                <w:sz w:val="20"/>
                                <w:szCs w:val="20"/>
                                <w:lang w:val="el-GR"/>
                              </w:rPr>
                            </w:pPr>
                            <w:r w:rsidRPr="00530F75">
                              <w:rPr>
                                <w:rFonts w:cs="Calibri"/>
                                <w:b/>
                                <w:sz w:val="20"/>
                                <w:szCs w:val="20"/>
                                <w:lang w:val="el-GR"/>
                              </w:rPr>
                              <w:t xml:space="preserve">Αναπτυξιακά Προγράμματα </w:t>
                            </w:r>
                            <w:r w:rsidRPr="00530F75">
                              <w:rPr>
                                <w:rFonts w:cs="Calibri"/>
                                <w:sz w:val="20"/>
                                <w:szCs w:val="20"/>
                                <w:lang w:val="el-GR"/>
                              </w:rPr>
                              <w:t xml:space="preserve">– </w:t>
                            </w:r>
                            <w:r>
                              <w:rPr>
                                <w:rFonts w:cs="Calibri"/>
                                <w:sz w:val="20"/>
                                <w:szCs w:val="20"/>
                                <w:lang w:val="el-GR"/>
                              </w:rPr>
                              <w:t>Συνεργασίες</w:t>
                            </w:r>
                            <w:r w:rsidRPr="00530F75">
                              <w:rPr>
                                <w:rFonts w:cs="Calibri"/>
                                <w:sz w:val="20"/>
                                <w:szCs w:val="20"/>
                                <w:lang w:val="el-GR"/>
                              </w:rPr>
                              <w:t xml:space="preserve"> </w:t>
                            </w:r>
                            <w:r>
                              <w:rPr>
                                <w:rFonts w:cs="Calibri"/>
                                <w:sz w:val="20"/>
                                <w:szCs w:val="20"/>
                                <w:lang w:val="el-GR"/>
                              </w:rPr>
                              <w:t>ύψους</w:t>
                            </w:r>
                            <w:r w:rsidRPr="00530F75">
                              <w:rPr>
                                <w:rFonts w:cs="Calibri"/>
                                <w:sz w:val="20"/>
                                <w:szCs w:val="20"/>
                                <w:lang w:val="el-GR"/>
                              </w:rPr>
                              <w:t xml:space="preserve"> €6 </w:t>
                            </w:r>
                            <w:r>
                              <w:rPr>
                                <w:rFonts w:cs="Calibri"/>
                                <w:sz w:val="20"/>
                                <w:szCs w:val="20"/>
                                <w:lang w:val="el-GR"/>
                              </w:rPr>
                              <w:t>δισ</w:t>
                            </w:r>
                            <w:r w:rsidRPr="00530F75">
                              <w:rPr>
                                <w:rFonts w:cs="Calibri"/>
                                <w:sz w:val="20"/>
                                <w:szCs w:val="20"/>
                                <w:lang w:val="el-GR"/>
                              </w:rPr>
                              <w:t xml:space="preserve">. </w:t>
                            </w:r>
                            <w:r>
                              <w:rPr>
                                <w:rFonts w:cs="Calibri"/>
                                <w:sz w:val="20"/>
                                <w:szCs w:val="20"/>
                                <w:lang w:val="el-GR"/>
                              </w:rPr>
                              <w:t>με</w:t>
                            </w:r>
                            <w:r w:rsidRPr="00530F75">
                              <w:rPr>
                                <w:rFonts w:cs="Calibri"/>
                                <w:sz w:val="20"/>
                                <w:szCs w:val="20"/>
                                <w:lang w:val="el-GR"/>
                              </w:rPr>
                              <w:t xml:space="preserve"> </w:t>
                            </w:r>
                            <w:r>
                              <w:rPr>
                                <w:rFonts w:cs="Calibri"/>
                                <w:sz w:val="20"/>
                                <w:szCs w:val="20"/>
                                <w:lang w:val="el-GR"/>
                              </w:rPr>
                              <w:t>αναπτυξιακά</w:t>
                            </w:r>
                            <w:r w:rsidRPr="00530F75">
                              <w:rPr>
                                <w:rFonts w:cs="Calibri"/>
                                <w:sz w:val="20"/>
                                <w:szCs w:val="20"/>
                                <w:lang w:val="el-GR"/>
                              </w:rPr>
                              <w:t xml:space="preserve"> </w:t>
                            </w:r>
                            <w:r>
                              <w:rPr>
                                <w:rFonts w:cs="Calibri"/>
                                <w:sz w:val="20"/>
                                <w:szCs w:val="20"/>
                                <w:lang w:val="el-GR"/>
                              </w:rPr>
                              <w:t>ταμεία και διεθνείς οργανισμούς</w:t>
                            </w:r>
                            <w:r w:rsidRPr="00530F75">
                              <w:rPr>
                                <w:rFonts w:cs="Calibri"/>
                                <w:sz w:val="20"/>
                                <w:szCs w:val="20"/>
                                <w:lang w:val="el-GR"/>
                              </w:rPr>
                              <w:t>,</w:t>
                            </w:r>
                            <w:r>
                              <w:rPr>
                                <w:rFonts w:cs="Calibri"/>
                                <w:sz w:val="20"/>
                                <w:szCs w:val="20"/>
                                <w:lang w:val="el-GR"/>
                              </w:rPr>
                              <w:t xml:space="preserve"> ο μεγαλύτερος διαχειριστής διαρθρωτικών πόρων της Ευρωπαϊκής Ένωσης στην Ελλάδα</w:t>
                            </w:r>
                          </w:p>
                          <w:p w14:paraId="6BE77C73" w14:textId="6C527C89" w:rsidR="00EA6E38" w:rsidRPr="00530F75" w:rsidRDefault="00EA6E38" w:rsidP="00347470">
                            <w:pPr>
                              <w:pStyle w:val="ListParagraph"/>
                              <w:numPr>
                                <w:ilvl w:val="0"/>
                                <w:numId w:val="37"/>
                              </w:numPr>
                              <w:tabs>
                                <w:tab w:val="left" w:pos="10348"/>
                              </w:tabs>
                              <w:spacing w:after="80" w:line="276" w:lineRule="auto"/>
                              <w:ind w:left="2268" w:right="255" w:hanging="357"/>
                              <w:contextualSpacing w:val="0"/>
                              <w:jc w:val="both"/>
                              <w:rPr>
                                <w:rFonts w:cs="Calibri"/>
                                <w:sz w:val="20"/>
                                <w:szCs w:val="20"/>
                                <w:lang w:val="el-GR"/>
                              </w:rPr>
                            </w:pPr>
                            <w:r w:rsidRPr="00530F75">
                              <w:rPr>
                                <w:rFonts w:cs="Calibri"/>
                                <w:b/>
                                <w:sz w:val="20"/>
                                <w:szCs w:val="20"/>
                                <w:lang w:val="el-GR"/>
                              </w:rPr>
                              <w:t>Λειτουργικά Έξοδα</w:t>
                            </w:r>
                            <w:r w:rsidRPr="00530F75">
                              <w:rPr>
                                <w:rFonts w:cs="Calibri"/>
                                <w:sz w:val="20"/>
                                <w:szCs w:val="20"/>
                                <w:lang w:val="el-GR"/>
                              </w:rPr>
                              <w:t xml:space="preserve"> – Πρώτη θέση στον ελληνικό τραπεζικό τομέα, με </w:t>
                            </w:r>
                            <w:r>
                              <w:rPr>
                                <w:rFonts w:cs="Calibri"/>
                                <w:sz w:val="20"/>
                                <w:szCs w:val="20"/>
                                <w:lang w:val="el-GR"/>
                              </w:rPr>
                              <w:t xml:space="preserve">τη μεγαλύτερη μείωση </w:t>
                            </w:r>
                            <w:r w:rsidRPr="00530F75">
                              <w:rPr>
                                <w:rFonts w:cs="Calibri"/>
                                <w:sz w:val="20"/>
                                <w:szCs w:val="20"/>
                                <w:lang w:val="el-GR"/>
                              </w:rPr>
                              <w:t>κόστους περ</w:t>
                            </w:r>
                            <w:r>
                              <w:rPr>
                                <w:rFonts w:cs="Calibri"/>
                                <w:sz w:val="20"/>
                                <w:szCs w:val="20"/>
                                <w:lang w:val="el-GR"/>
                              </w:rPr>
                              <w:t xml:space="preserve">ίπου </w:t>
                            </w:r>
                            <w:r w:rsidRPr="00530F75">
                              <w:rPr>
                                <w:rFonts w:cs="Calibri"/>
                                <w:sz w:val="20"/>
                                <w:szCs w:val="20"/>
                                <w:lang w:val="el-GR"/>
                              </w:rPr>
                              <w:t>30% τα τελευταία 4 χρόνια</w:t>
                            </w:r>
                          </w:p>
                          <w:p w14:paraId="2A9E26A3" w14:textId="4D19D57A" w:rsidR="00EA6E38" w:rsidRDefault="00EA6E38" w:rsidP="00347470">
                            <w:pPr>
                              <w:pStyle w:val="ListParagraph"/>
                              <w:numPr>
                                <w:ilvl w:val="0"/>
                                <w:numId w:val="37"/>
                              </w:numPr>
                              <w:tabs>
                                <w:tab w:val="left" w:pos="10348"/>
                              </w:tabs>
                              <w:spacing w:after="80" w:line="276" w:lineRule="auto"/>
                              <w:ind w:left="2268" w:right="255" w:hanging="357"/>
                              <w:contextualSpacing w:val="0"/>
                              <w:jc w:val="both"/>
                              <w:rPr>
                                <w:rFonts w:cs="Calibri"/>
                                <w:sz w:val="20"/>
                                <w:szCs w:val="20"/>
                                <w:lang w:val="el-GR"/>
                              </w:rPr>
                            </w:pPr>
                            <w:r w:rsidRPr="00530F75">
                              <w:rPr>
                                <w:rFonts w:cs="Calibri"/>
                                <w:b/>
                                <w:sz w:val="20"/>
                                <w:szCs w:val="20"/>
                                <w:lang w:val="el-GR"/>
                              </w:rPr>
                              <w:t xml:space="preserve">Πρωτοπορία </w:t>
                            </w:r>
                            <w:r w:rsidRPr="00530F75">
                              <w:rPr>
                                <w:rFonts w:cs="Calibri"/>
                                <w:b/>
                                <w:sz w:val="20"/>
                                <w:szCs w:val="20"/>
                              </w:rPr>
                              <w:t>ESG</w:t>
                            </w:r>
                            <w:r w:rsidRPr="00530F75">
                              <w:rPr>
                                <w:rFonts w:cs="Calibri"/>
                                <w:sz w:val="20"/>
                                <w:szCs w:val="20"/>
                                <w:lang w:val="el-GR"/>
                              </w:rPr>
                              <w:t xml:space="preserve"> – </w:t>
                            </w:r>
                            <w:r>
                              <w:rPr>
                                <w:rFonts w:cs="Calibri"/>
                                <w:sz w:val="20"/>
                                <w:szCs w:val="20"/>
                                <w:lang w:val="el-GR"/>
                              </w:rPr>
                              <w:t>Η μοναδική ελληνική τράπεζα που συμπεριλαμβάνεται στους "</w:t>
                            </w:r>
                            <w:r w:rsidRPr="00303644">
                              <w:rPr>
                                <w:rFonts w:cs="Calibri"/>
                                <w:sz w:val="20"/>
                                <w:szCs w:val="20"/>
                              </w:rPr>
                              <w:t>Europe</w:t>
                            </w:r>
                            <w:r w:rsidRPr="00530F75">
                              <w:rPr>
                                <w:rFonts w:cs="Calibri"/>
                                <w:sz w:val="20"/>
                                <w:szCs w:val="20"/>
                                <w:lang w:val="el-GR"/>
                              </w:rPr>
                              <w:t>’</w:t>
                            </w:r>
                            <w:r w:rsidRPr="00303644">
                              <w:rPr>
                                <w:rFonts w:cs="Calibri"/>
                                <w:sz w:val="20"/>
                                <w:szCs w:val="20"/>
                              </w:rPr>
                              <w:t>s</w:t>
                            </w:r>
                            <w:r w:rsidRPr="00530F75">
                              <w:rPr>
                                <w:rFonts w:cs="Calibri"/>
                                <w:sz w:val="20"/>
                                <w:szCs w:val="20"/>
                                <w:lang w:val="el-GR"/>
                              </w:rPr>
                              <w:t xml:space="preserve"> 2021 </w:t>
                            </w:r>
                            <w:r w:rsidRPr="00303644">
                              <w:rPr>
                                <w:rFonts w:cs="Calibri"/>
                                <w:sz w:val="20"/>
                                <w:szCs w:val="20"/>
                              </w:rPr>
                              <w:t>Climate</w:t>
                            </w:r>
                            <w:r w:rsidRPr="00530F75">
                              <w:rPr>
                                <w:rFonts w:cs="Calibri"/>
                                <w:sz w:val="20"/>
                                <w:szCs w:val="20"/>
                                <w:lang w:val="el-GR"/>
                              </w:rPr>
                              <w:t xml:space="preserve"> </w:t>
                            </w:r>
                            <w:r w:rsidRPr="00303644">
                              <w:rPr>
                                <w:rFonts w:cs="Calibri"/>
                                <w:sz w:val="20"/>
                                <w:szCs w:val="20"/>
                              </w:rPr>
                              <w:t>Leaders</w:t>
                            </w:r>
                            <w:r w:rsidRPr="00530F75">
                              <w:rPr>
                                <w:rFonts w:cs="Calibri"/>
                                <w:sz w:val="20"/>
                                <w:szCs w:val="20"/>
                                <w:lang w:val="el-GR"/>
                              </w:rPr>
                              <w:t>”</w:t>
                            </w:r>
                            <w:r>
                              <w:rPr>
                                <w:rFonts w:cs="Calibri"/>
                                <w:sz w:val="20"/>
                                <w:szCs w:val="20"/>
                                <w:lang w:val="el-GR"/>
                              </w:rPr>
                              <w:t xml:space="preserve"> των </w:t>
                            </w:r>
                            <w:r>
                              <w:rPr>
                                <w:rFonts w:cs="Calibri"/>
                                <w:sz w:val="20"/>
                                <w:szCs w:val="20"/>
                              </w:rPr>
                              <w:t>Financial</w:t>
                            </w:r>
                            <w:r w:rsidRPr="00530F75">
                              <w:rPr>
                                <w:rFonts w:cs="Calibri"/>
                                <w:sz w:val="20"/>
                                <w:szCs w:val="20"/>
                                <w:lang w:val="el-GR"/>
                              </w:rPr>
                              <w:t xml:space="preserve"> </w:t>
                            </w:r>
                            <w:r>
                              <w:rPr>
                                <w:rFonts w:cs="Calibri"/>
                                <w:sz w:val="20"/>
                                <w:szCs w:val="20"/>
                              </w:rPr>
                              <w:t>Times</w:t>
                            </w:r>
                            <w:r w:rsidRPr="00530F75">
                              <w:rPr>
                                <w:rFonts w:cs="Calibri"/>
                                <w:sz w:val="20"/>
                                <w:szCs w:val="20"/>
                                <w:lang w:val="el-GR"/>
                              </w:rPr>
                              <w:t xml:space="preserve">, </w:t>
                            </w:r>
                            <w:r>
                              <w:rPr>
                                <w:rFonts w:cs="Calibri"/>
                                <w:sz w:val="20"/>
                                <w:szCs w:val="20"/>
                                <w:lang w:val="el-GR"/>
                              </w:rPr>
                              <w:t xml:space="preserve">με το </w:t>
                            </w:r>
                            <w:r w:rsidRPr="00530F75">
                              <w:rPr>
                                <w:rFonts w:cs="Calibri"/>
                                <w:sz w:val="20"/>
                                <w:szCs w:val="20"/>
                                <w:lang w:val="el-GR"/>
                              </w:rPr>
                              <w:t xml:space="preserve">μεγαλύτερο χαρτοφυλάκιο </w:t>
                            </w:r>
                            <w:r>
                              <w:rPr>
                                <w:rFonts w:cs="Calibri"/>
                                <w:sz w:val="20"/>
                                <w:szCs w:val="20"/>
                                <w:lang w:val="el-GR"/>
                              </w:rPr>
                              <w:t>πράσινων χρηματοδοτήσεων (συμπεριλαμβανομένων των ανανεώσιμων πηγών ενέργειας)</w:t>
                            </w:r>
                            <w:r w:rsidRPr="00530F75">
                              <w:rPr>
                                <w:rFonts w:cs="Calibri"/>
                                <w:sz w:val="20"/>
                                <w:szCs w:val="20"/>
                                <w:lang w:val="el-GR"/>
                              </w:rPr>
                              <w:t xml:space="preserve">, 1η Τράπεζα στην Ελλάδα που </w:t>
                            </w:r>
                            <w:r>
                              <w:rPr>
                                <w:rFonts w:cs="Calibri"/>
                                <w:sz w:val="20"/>
                                <w:szCs w:val="20"/>
                                <w:lang w:val="el-GR"/>
                              </w:rPr>
                              <w:t xml:space="preserve">πραγματοποίησε εταιρικές χρηματοδοτήσεις με κριτήρια </w:t>
                            </w:r>
                            <w:r>
                              <w:rPr>
                                <w:rFonts w:cs="Calibri"/>
                                <w:sz w:val="20"/>
                                <w:szCs w:val="20"/>
                              </w:rPr>
                              <w:t>ESG</w:t>
                            </w:r>
                            <w:r w:rsidRPr="00452F13">
                              <w:rPr>
                                <w:rFonts w:cs="Calibri"/>
                                <w:sz w:val="20"/>
                                <w:szCs w:val="20"/>
                                <w:lang w:val="el-GR"/>
                              </w:rPr>
                              <w:t xml:space="preserve">. </w:t>
                            </w:r>
                            <w:r>
                              <w:rPr>
                                <w:rFonts w:cs="Calibri"/>
                                <w:sz w:val="20"/>
                                <w:szCs w:val="20"/>
                                <w:lang w:val="el-GR"/>
                              </w:rPr>
                              <w:t xml:space="preserve">Πρώτη Τράπεζα που </w:t>
                            </w:r>
                            <w:r w:rsidRPr="00530F75">
                              <w:rPr>
                                <w:rFonts w:cs="Calibri"/>
                                <w:sz w:val="20"/>
                                <w:szCs w:val="20"/>
                                <w:lang w:val="el-GR"/>
                              </w:rPr>
                              <w:t xml:space="preserve">εξέδωσε </w:t>
                            </w:r>
                            <w:r w:rsidRPr="00530F75">
                              <w:rPr>
                                <w:rFonts w:cs="Calibri"/>
                                <w:sz w:val="20"/>
                                <w:szCs w:val="20"/>
                              </w:rPr>
                              <w:t>ESG</w:t>
                            </w:r>
                            <w:r w:rsidRPr="00530F75">
                              <w:rPr>
                                <w:rFonts w:cs="Calibri"/>
                                <w:sz w:val="20"/>
                                <w:szCs w:val="20"/>
                                <w:lang w:val="el-GR"/>
                              </w:rPr>
                              <w:t xml:space="preserve"> ομόλογο και αμοιβαίο κεφάλαιο</w:t>
                            </w:r>
                          </w:p>
                          <w:p w14:paraId="6DDBBC77" w14:textId="77777777" w:rsidR="00EA6E38" w:rsidRPr="00E1370A" w:rsidRDefault="00EA6E38" w:rsidP="00AE4B81">
                            <w:pPr>
                              <w:pStyle w:val="ListParagraph"/>
                              <w:tabs>
                                <w:tab w:val="left" w:pos="5040"/>
                                <w:tab w:val="left" w:pos="10348"/>
                              </w:tabs>
                              <w:spacing w:after="120"/>
                              <w:ind w:left="2552" w:right="258"/>
                              <w:contextualSpacing w:val="0"/>
                              <w:rPr>
                                <w:rFonts w:cs="Calibri"/>
                                <w:b/>
                                <w:color w:val="6691AB"/>
                                <w:sz w:val="8"/>
                                <w:szCs w:val="20"/>
                                <w:lang w:val="el-GR"/>
                              </w:rPr>
                            </w:pPr>
                          </w:p>
                          <w:p w14:paraId="231EB162" w14:textId="77777777" w:rsidR="00EA6E38" w:rsidRPr="00084CF0" w:rsidRDefault="00EA6E38" w:rsidP="00B42689">
                            <w:pPr>
                              <w:pStyle w:val="ListParagraph"/>
                              <w:tabs>
                                <w:tab w:val="left" w:pos="10348"/>
                              </w:tabs>
                              <w:spacing w:line="264" w:lineRule="auto"/>
                              <w:ind w:left="2835" w:right="57"/>
                              <w:jc w:val="both"/>
                              <w:rPr>
                                <w:rFonts w:cs="Calibri"/>
                                <w:sz w:val="20"/>
                                <w:szCs w:val="20"/>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3AEDD" id="Rectangle 37" o:spid="_x0000_s1027" style="position:absolute;left:0;text-align:left;margin-left:0;margin-top:43.3pt;width:545.15pt;height:585.35pt;z-index:-25164492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" fillcolor="#e6e6e1" stroked="f">
                <o:lock v:ext="edit" aspectratio="t"/>
                <v:textbox>
                  <w:txbxContent>
                    <w:p w14:paraId="49E13D8A" w14:textId="77777777" w:rsidR="00EA6E38" w:rsidRPr="00E1370A" w:rsidRDefault="00EA6E38" w:rsidP="00E1370A">
                      <w:pPr>
                        <w:pStyle w:val="ListParagraph"/>
                        <w:tabs>
                          <w:tab w:val="left" w:pos="5040"/>
                          <w:tab w:val="left" w:pos="10348"/>
                        </w:tabs>
                        <w:ind w:left="2552" w:right="258"/>
                        <w:contextualSpacing w:val="0"/>
                        <w:rPr>
                          <w:rFonts w:cs="Calibri"/>
                          <w:b/>
                          <w:color w:val="6691AB"/>
                          <w:sz w:val="10"/>
                          <w:szCs w:val="20"/>
                          <w:lang w:val="el-GR"/>
                        </w:rPr>
                      </w:pPr>
                    </w:p>
                    <w:p w14:paraId="5217FF68" w14:textId="77777777" w:rsidR="00EA6E38" w:rsidRDefault="00EA6E38" w:rsidP="00E1370A">
                      <w:pPr>
                        <w:pStyle w:val="ListParagraph"/>
                        <w:tabs>
                          <w:tab w:val="left" w:pos="5040"/>
                          <w:tab w:val="left" w:pos="10348"/>
                        </w:tabs>
                        <w:ind w:left="1985" w:right="258"/>
                        <w:contextualSpacing w:val="0"/>
                        <w:rPr>
                          <w:rFonts w:cs="Calibri"/>
                          <w:b/>
                          <w:color w:val="6691AB"/>
                          <w:szCs w:val="20"/>
                          <w:lang w:val="el-GR"/>
                        </w:rPr>
                      </w:pPr>
                    </w:p>
                    <w:p w14:paraId="2009A83B" w14:textId="54085C90" w:rsidR="00EA6E38" w:rsidRDefault="00EA6E38" w:rsidP="00E1370A">
                      <w:pPr>
                        <w:pStyle w:val="ListParagraph"/>
                        <w:tabs>
                          <w:tab w:val="left" w:pos="5040"/>
                          <w:tab w:val="left" w:pos="10348"/>
                        </w:tabs>
                        <w:ind w:left="1985" w:right="258"/>
                        <w:contextualSpacing w:val="0"/>
                        <w:rPr>
                          <w:rFonts w:cs="Calibri"/>
                          <w:b/>
                          <w:color w:val="6691AB"/>
                          <w:szCs w:val="20"/>
                          <w:lang w:val="el-GR"/>
                        </w:rPr>
                      </w:pPr>
                    </w:p>
                    <w:p w14:paraId="5FD3ECCF" w14:textId="77777777" w:rsidR="00EA6E38" w:rsidRDefault="00EA6E38" w:rsidP="00E1370A">
                      <w:pPr>
                        <w:pStyle w:val="ListParagraph"/>
                        <w:tabs>
                          <w:tab w:val="left" w:pos="5040"/>
                          <w:tab w:val="left" w:pos="10348"/>
                        </w:tabs>
                        <w:ind w:left="1985" w:right="258"/>
                        <w:contextualSpacing w:val="0"/>
                        <w:rPr>
                          <w:rFonts w:cs="Calibri"/>
                          <w:b/>
                          <w:color w:val="6691AB"/>
                          <w:szCs w:val="20"/>
                          <w:lang w:val="el-GR"/>
                        </w:rPr>
                      </w:pPr>
                    </w:p>
                    <w:p w14:paraId="6F0E3EF3" w14:textId="26ED5BEF" w:rsidR="00EA6E38" w:rsidRDefault="00EA6E38" w:rsidP="00E1370A">
                      <w:pPr>
                        <w:pStyle w:val="ListParagraph"/>
                        <w:tabs>
                          <w:tab w:val="left" w:pos="5040"/>
                          <w:tab w:val="left" w:pos="10348"/>
                        </w:tabs>
                        <w:ind w:left="1985" w:right="258"/>
                        <w:contextualSpacing w:val="0"/>
                        <w:rPr>
                          <w:rFonts w:cs="Calibri"/>
                          <w:b/>
                          <w:color w:val="6691AB"/>
                          <w:szCs w:val="20"/>
                          <w:lang w:val="el-GR"/>
                        </w:rPr>
                      </w:pPr>
                      <w:r w:rsidRPr="00AE4B81">
                        <w:rPr>
                          <w:rFonts w:cs="Calibri"/>
                          <w:b/>
                          <w:color w:val="6691AB"/>
                          <w:szCs w:val="20"/>
                          <w:lang w:val="el-GR"/>
                        </w:rPr>
                        <w:t>Δέκα «</w:t>
                      </w:r>
                      <w:r>
                        <w:rPr>
                          <w:rFonts w:cs="Calibri"/>
                          <w:b/>
                          <w:color w:val="6691AB"/>
                          <w:szCs w:val="20"/>
                          <w:lang w:val="el-GR"/>
                        </w:rPr>
                        <w:t>επιτεύγματα</w:t>
                      </w:r>
                      <w:r w:rsidRPr="00AE4B81">
                        <w:rPr>
                          <w:rFonts w:cs="Calibri"/>
                          <w:b/>
                          <w:color w:val="6691AB"/>
                          <w:szCs w:val="20"/>
                          <w:lang w:val="el-GR"/>
                        </w:rPr>
                        <w:t xml:space="preserve">» που </w:t>
                      </w:r>
                      <w:r>
                        <w:rPr>
                          <w:rFonts w:cs="Calibri"/>
                          <w:b/>
                          <w:color w:val="6691AB"/>
                          <w:szCs w:val="20"/>
                          <w:lang w:val="el-GR"/>
                        </w:rPr>
                        <w:t>αποδεικνύουν έμπρακτα</w:t>
                      </w:r>
                      <w:r w:rsidRPr="00AE4B81">
                        <w:rPr>
                          <w:rFonts w:cs="Calibri"/>
                          <w:b/>
                          <w:color w:val="6691AB"/>
                          <w:szCs w:val="20"/>
                          <w:lang w:val="el-GR"/>
                        </w:rPr>
                        <w:t xml:space="preserve"> </w:t>
                      </w:r>
                      <w:r>
                        <w:rPr>
                          <w:rFonts w:cs="Calibri"/>
                          <w:b/>
                          <w:color w:val="6691AB"/>
                          <w:szCs w:val="20"/>
                          <w:lang w:val="el-GR"/>
                        </w:rPr>
                        <w:t xml:space="preserve">το ηγετικό προφίλ </w:t>
                      </w:r>
                      <w:r w:rsidRPr="00AE4B81">
                        <w:rPr>
                          <w:rFonts w:cs="Calibri"/>
                          <w:b/>
                          <w:color w:val="6691AB"/>
                          <w:szCs w:val="20"/>
                          <w:lang w:val="el-GR"/>
                        </w:rPr>
                        <w:t xml:space="preserve">της </w:t>
                      </w:r>
                      <w:r>
                        <w:rPr>
                          <w:rFonts w:cs="Calibri"/>
                          <w:b/>
                          <w:color w:val="6691AB"/>
                          <w:szCs w:val="20"/>
                          <w:lang w:val="el-GR"/>
                        </w:rPr>
                        <w:t>Π</w:t>
                      </w:r>
                      <w:r w:rsidRPr="00CC5C78">
                        <w:rPr>
                          <w:rFonts w:cs="Calibri"/>
                          <w:b/>
                          <w:color w:val="6691AB"/>
                          <w:szCs w:val="20"/>
                          <w:lang w:val="el-GR"/>
                        </w:rPr>
                        <w:t>ειραιώς</w:t>
                      </w:r>
                    </w:p>
                    <w:p w14:paraId="7AECB889" w14:textId="77777777" w:rsidR="00EA6E38" w:rsidRDefault="00EA6E38" w:rsidP="00E1370A">
                      <w:pPr>
                        <w:pStyle w:val="ListParagraph"/>
                        <w:tabs>
                          <w:tab w:val="left" w:pos="5040"/>
                          <w:tab w:val="left" w:pos="10348"/>
                        </w:tabs>
                        <w:ind w:left="1985" w:right="258"/>
                        <w:contextualSpacing w:val="0"/>
                        <w:rPr>
                          <w:rFonts w:cs="Calibri"/>
                          <w:b/>
                          <w:color w:val="6691AB"/>
                          <w:szCs w:val="20"/>
                          <w:lang w:val="el-GR"/>
                        </w:rPr>
                      </w:pPr>
                    </w:p>
                    <w:p w14:paraId="563257E2" w14:textId="27FEA50A" w:rsidR="00EA6E38" w:rsidRPr="00E1370A" w:rsidRDefault="00EA6E38" w:rsidP="00E1370A">
                      <w:pPr>
                        <w:pStyle w:val="ListParagraph"/>
                        <w:tabs>
                          <w:tab w:val="left" w:pos="5040"/>
                          <w:tab w:val="left" w:pos="10348"/>
                        </w:tabs>
                        <w:ind w:left="1985" w:right="258"/>
                        <w:contextualSpacing w:val="0"/>
                        <w:rPr>
                          <w:rFonts w:cs="Calibri"/>
                          <w:b/>
                          <w:color w:val="6691AB"/>
                          <w:sz w:val="14"/>
                          <w:szCs w:val="20"/>
                          <w:lang w:val="el-GR"/>
                        </w:rPr>
                      </w:pPr>
                      <w:r w:rsidRPr="00CC5C78">
                        <w:rPr>
                          <w:rFonts w:cs="Calibri"/>
                          <w:b/>
                          <w:color w:val="6691AB"/>
                          <w:szCs w:val="20"/>
                          <w:lang w:val="el-GR"/>
                        </w:rPr>
                        <w:t xml:space="preserve">  </w:t>
                      </w:r>
                    </w:p>
                    <w:p w14:paraId="64626FA3" w14:textId="1DF4FCB7" w:rsidR="00EA6E38" w:rsidRDefault="00EA6E38" w:rsidP="00347470">
                      <w:pPr>
                        <w:pStyle w:val="ListParagraph"/>
                        <w:numPr>
                          <w:ilvl w:val="0"/>
                          <w:numId w:val="37"/>
                        </w:numPr>
                        <w:tabs>
                          <w:tab w:val="left" w:pos="10348"/>
                        </w:tabs>
                        <w:spacing w:after="80" w:line="276" w:lineRule="auto"/>
                        <w:ind w:left="2268" w:right="255" w:hanging="357"/>
                        <w:contextualSpacing w:val="0"/>
                        <w:jc w:val="both"/>
                        <w:rPr>
                          <w:rFonts w:cs="Calibri"/>
                          <w:sz w:val="20"/>
                          <w:szCs w:val="20"/>
                          <w:lang w:val="el-GR"/>
                        </w:rPr>
                      </w:pPr>
                      <w:r w:rsidRPr="00756570">
                        <w:rPr>
                          <w:rFonts w:cs="Calibri"/>
                          <w:b/>
                          <w:sz w:val="20"/>
                          <w:szCs w:val="20"/>
                          <w:lang w:val="el-GR"/>
                        </w:rPr>
                        <w:t>Αύξηση Μετοχικού Κεφαλαίου</w:t>
                      </w:r>
                      <w:r w:rsidRPr="00CC5C78">
                        <w:rPr>
                          <w:rFonts w:cs="Calibri"/>
                          <w:sz w:val="20"/>
                          <w:szCs w:val="20"/>
                          <w:lang w:val="el-GR"/>
                        </w:rPr>
                        <w:t xml:space="preserve"> – 1η Τράπεζα που πραγματοποίησε αύξηση μετοχικού κεφαλαίου μετά την κρίση στις αρχές του 2021, </w:t>
                      </w:r>
                      <w:r>
                        <w:rPr>
                          <w:rFonts w:cs="Calibri"/>
                          <w:sz w:val="20"/>
                          <w:szCs w:val="20"/>
                          <w:lang w:val="el-GR"/>
                        </w:rPr>
                        <w:t xml:space="preserve">προσελκύοντας διεθνή κεφάλαια και </w:t>
                      </w:r>
                      <w:r w:rsidRPr="00CC5C78">
                        <w:rPr>
                          <w:rFonts w:cs="Calibri"/>
                          <w:sz w:val="20"/>
                          <w:szCs w:val="20"/>
                          <w:lang w:val="el-GR"/>
                        </w:rPr>
                        <w:t xml:space="preserve">ανοίγοντας τον δρόμο για την </w:t>
                      </w:r>
                      <w:r>
                        <w:rPr>
                          <w:rFonts w:cs="Calibri"/>
                          <w:sz w:val="20"/>
                          <w:szCs w:val="20"/>
                          <w:lang w:val="el-GR"/>
                        </w:rPr>
                        <w:t>αναβάθμιση</w:t>
                      </w:r>
                      <w:r w:rsidRPr="00CC5C78">
                        <w:rPr>
                          <w:rFonts w:cs="Calibri"/>
                          <w:sz w:val="20"/>
                          <w:szCs w:val="20"/>
                          <w:lang w:val="el-GR"/>
                        </w:rPr>
                        <w:t xml:space="preserve"> του κλάδου</w:t>
                      </w:r>
                    </w:p>
                    <w:p w14:paraId="2F61A7B1" w14:textId="4DB8CE6E" w:rsidR="00EA6E38" w:rsidRPr="00756570" w:rsidRDefault="00EA6E38" w:rsidP="00347470">
                      <w:pPr>
                        <w:pStyle w:val="ListParagraph"/>
                        <w:numPr>
                          <w:ilvl w:val="0"/>
                          <w:numId w:val="37"/>
                        </w:numPr>
                        <w:tabs>
                          <w:tab w:val="left" w:pos="10348"/>
                        </w:tabs>
                        <w:spacing w:after="80" w:line="276" w:lineRule="auto"/>
                        <w:ind w:left="2268" w:right="255" w:hanging="357"/>
                        <w:contextualSpacing w:val="0"/>
                        <w:jc w:val="both"/>
                        <w:rPr>
                          <w:rFonts w:cs="Calibri"/>
                          <w:sz w:val="20"/>
                          <w:szCs w:val="20"/>
                          <w:lang w:val="el-GR"/>
                        </w:rPr>
                      </w:pPr>
                      <w:r w:rsidRPr="00756570">
                        <w:rPr>
                          <w:rFonts w:cs="Calibri"/>
                          <w:b/>
                          <w:sz w:val="20"/>
                          <w:szCs w:val="20"/>
                          <w:lang w:val="el-GR"/>
                        </w:rPr>
                        <w:t xml:space="preserve">Έκδοση Ομολόγου </w:t>
                      </w:r>
                      <w:r w:rsidRPr="00756570">
                        <w:rPr>
                          <w:rFonts w:cs="Calibri"/>
                          <w:b/>
                          <w:sz w:val="20"/>
                          <w:szCs w:val="20"/>
                        </w:rPr>
                        <w:t>Tier</w:t>
                      </w:r>
                      <w:r w:rsidRPr="00756570">
                        <w:rPr>
                          <w:rFonts w:cs="Calibri"/>
                          <w:b/>
                          <w:sz w:val="20"/>
                          <w:szCs w:val="20"/>
                          <w:lang w:val="el-GR"/>
                        </w:rPr>
                        <w:t xml:space="preserve"> 2</w:t>
                      </w:r>
                      <w:r w:rsidRPr="00756570">
                        <w:rPr>
                          <w:rFonts w:cs="Calibri"/>
                          <w:sz w:val="20"/>
                          <w:szCs w:val="20"/>
                          <w:lang w:val="el-GR"/>
                        </w:rPr>
                        <w:t xml:space="preserve"> – 1η έκδοση ομολόγου </w:t>
                      </w:r>
                      <w:r w:rsidRPr="00756570">
                        <w:rPr>
                          <w:rFonts w:cs="Calibri"/>
                          <w:sz w:val="20"/>
                          <w:szCs w:val="20"/>
                        </w:rPr>
                        <w:t>Tier</w:t>
                      </w:r>
                      <w:r w:rsidRPr="00756570">
                        <w:rPr>
                          <w:rFonts w:cs="Calibri"/>
                          <w:sz w:val="20"/>
                          <w:szCs w:val="20"/>
                          <w:lang w:val="el-GR"/>
                        </w:rPr>
                        <w:t xml:space="preserve"> 2 στην Ελλάδα, στα μέσα του 2019, μετά από </w:t>
                      </w:r>
                      <w:r>
                        <w:rPr>
                          <w:rFonts w:cs="Calibri"/>
                          <w:sz w:val="20"/>
                          <w:szCs w:val="20"/>
                          <w:lang w:val="el-GR"/>
                        </w:rPr>
                        <w:t>πάνω από δέκα έτη</w:t>
                      </w:r>
                    </w:p>
                    <w:p w14:paraId="506B0538" w14:textId="527DB554" w:rsidR="00EA6E38" w:rsidRPr="00756570" w:rsidRDefault="00EA6E38" w:rsidP="00347470">
                      <w:pPr>
                        <w:pStyle w:val="ListParagraph"/>
                        <w:numPr>
                          <w:ilvl w:val="0"/>
                          <w:numId w:val="37"/>
                        </w:numPr>
                        <w:tabs>
                          <w:tab w:val="left" w:pos="10348"/>
                        </w:tabs>
                        <w:spacing w:after="80" w:line="276" w:lineRule="auto"/>
                        <w:ind w:left="2268" w:right="255" w:hanging="357"/>
                        <w:contextualSpacing w:val="0"/>
                        <w:jc w:val="both"/>
                        <w:rPr>
                          <w:rFonts w:cs="Calibri"/>
                          <w:sz w:val="20"/>
                          <w:szCs w:val="20"/>
                          <w:lang w:val="el-GR"/>
                        </w:rPr>
                      </w:pPr>
                      <w:r w:rsidRPr="00756570">
                        <w:rPr>
                          <w:rFonts w:cs="Calibri"/>
                          <w:b/>
                          <w:sz w:val="20"/>
                          <w:szCs w:val="20"/>
                          <w:lang w:val="el-GR"/>
                        </w:rPr>
                        <w:t>Έκδοση Ομολόγου Α</w:t>
                      </w:r>
                      <w:r w:rsidRPr="00756570">
                        <w:rPr>
                          <w:rFonts w:cs="Calibri"/>
                          <w:b/>
                          <w:sz w:val="20"/>
                          <w:szCs w:val="20"/>
                        </w:rPr>
                        <w:t>T</w:t>
                      </w:r>
                      <w:r w:rsidRPr="00756570">
                        <w:rPr>
                          <w:rFonts w:cs="Calibri"/>
                          <w:b/>
                          <w:sz w:val="20"/>
                          <w:szCs w:val="20"/>
                          <w:lang w:val="el-GR"/>
                        </w:rPr>
                        <w:t>1</w:t>
                      </w:r>
                      <w:r w:rsidRPr="00756570">
                        <w:rPr>
                          <w:rFonts w:cs="Calibri"/>
                          <w:sz w:val="20"/>
                          <w:szCs w:val="20"/>
                          <w:lang w:val="el-GR"/>
                        </w:rPr>
                        <w:t xml:space="preserve"> – 1η έκδοση ομολόγου </w:t>
                      </w:r>
                      <w:r>
                        <w:rPr>
                          <w:rFonts w:cs="Calibri"/>
                          <w:sz w:val="20"/>
                          <w:szCs w:val="20"/>
                        </w:rPr>
                        <w:t>Additional</w:t>
                      </w:r>
                      <w:r w:rsidRPr="00756570">
                        <w:rPr>
                          <w:rFonts w:cs="Calibri"/>
                          <w:sz w:val="20"/>
                          <w:szCs w:val="20"/>
                          <w:lang w:val="el-GR"/>
                        </w:rPr>
                        <w:t xml:space="preserve"> </w:t>
                      </w:r>
                      <w:r w:rsidRPr="00756570">
                        <w:rPr>
                          <w:rFonts w:cs="Calibri"/>
                          <w:sz w:val="20"/>
                          <w:szCs w:val="20"/>
                        </w:rPr>
                        <w:t>Tier</w:t>
                      </w:r>
                      <w:r w:rsidRPr="00756570">
                        <w:rPr>
                          <w:rFonts w:cs="Calibri"/>
                          <w:sz w:val="20"/>
                          <w:szCs w:val="20"/>
                          <w:lang w:val="el-GR"/>
                        </w:rPr>
                        <w:t xml:space="preserve"> 1 στην Ελλάδα,</w:t>
                      </w:r>
                      <w:r>
                        <w:rPr>
                          <w:rFonts w:cs="Calibri"/>
                          <w:sz w:val="20"/>
                          <w:szCs w:val="20"/>
                          <w:lang w:val="el-GR"/>
                        </w:rPr>
                        <w:t xml:space="preserve"> στα μέσα του 2021</w:t>
                      </w:r>
                      <w:r w:rsidRPr="00756570">
                        <w:rPr>
                          <w:rFonts w:cs="Calibri"/>
                          <w:sz w:val="20"/>
                          <w:szCs w:val="20"/>
                          <w:lang w:val="el-GR"/>
                        </w:rPr>
                        <w:t xml:space="preserve">, μετά </w:t>
                      </w:r>
                      <w:r>
                        <w:rPr>
                          <w:rFonts w:cs="Calibri"/>
                          <w:sz w:val="20"/>
                          <w:szCs w:val="20"/>
                          <w:lang w:val="el-GR"/>
                        </w:rPr>
                        <w:t>από πάνω από δέ</w:t>
                      </w:r>
                      <w:r w:rsidR="007B52A8">
                        <w:rPr>
                          <w:rFonts w:cs="Calibri"/>
                          <w:sz w:val="20"/>
                          <w:szCs w:val="20"/>
                          <w:lang w:val="el-GR"/>
                        </w:rPr>
                        <w:t>κ</w:t>
                      </w:r>
                      <w:bookmarkStart w:id="1" w:name="_GoBack"/>
                      <w:bookmarkEnd w:id="1"/>
                      <w:r>
                        <w:rPr>
                          <w:rFonts w:cs="Calibri"/>
                          <w:sz w:val="20"/>
                          <w:szCs w:val="20"/>
                          <w:lang w:val="el-GR"/>
                        </w:rPr>
                        <w:t>α έτη</w:t>
                      </w:r>
                    </w:p>
                    <w:p w14:paraId="34B41FF8" w14:textId="4C451361" w:rsidR="00EA6E38" w:rsidRDefault="00EA6E38" w:rsidP="00347470">
                      <w:pPr>
                        <w:pStyle w:val="ListParagraph"/>
                        <w:numPr>
                          <w:ilvl w:val="0"/>
                          <w:numId w:val="37"/>
                        </w:numPr>
                        <w:tabs>
                          <w:tab w:val="left" w:pos="10348"/>
                        </w:tabs>
                        <w:spacing w:after="80" w:line="276" w:lineRule="auto"/>
                        <w:ind w:left="2268" w:right="255" w:hanging="357"/>
                        <w:contextualSpacing w:val="0"/>
                        <w:jc w:val="both"/>
                        <w:rPr>
                          <w:rFonts w:cs="Calibri"/>
                          <w:sz w:val="20"/>
                          <w:szCs w:val="20"/>
                          <w:lang w:val="el-GR"/>
                        </w:rPr>
                      </w:pPr>
                      <w:r w:rsidRPr="00756570">
                        <w:rPr>
                          <w:rFonts w:cs="Calibri"/>
                          <w:b/>
                          <w:sz w:val="20"/>
                          <w:szCs w:val="20"/>
                          <w:lang w:val="el-GR"/>
                        </w:rPr>
                        <w:t>Μείωση ΝΡΕ</w:t>
                      </w:r>
                      <w:r w:rsidRPr="00756570">
                        <w:rPr>
                          <w:rFonts w:cs="Calibri"/>
                          <w:sz w:val="20"/>
                          <w:szCs w:val="20"/>
                          <w:lang w:val="el-GR"/>
                        </w:rPr>
                        <w:t xml:space="preserve"> – Μείωση </w:t>
                      </w:r>
                      <w:r w:rsidRPr="00756570">
                        <w:rPr>
                          <w:rFonts w:cs="Calibri"/>
                          <w:sz w:val="20"/>
                          <w:szCs w:val="20"/>
                        </w:rPr>
                        <w:t>NPE</w:t>
                      </w:r>
                      <w:r w:rsidRPr="00756570">
                        <w:rPr>
                          <w:rFonts w:cs="Calibri"/>
                          <w:sz w:val="20"/>
                          <w:szCs w:val="20"/>
                          <w:lang w:val="el-GR"/>
                        </w:rPr>
                        <w:t xml:space="preserve"> ύψους €19 δισ. τους τελευταίους 12 μήνες, πραγματοποιώντας τη μεγαλύτερ</w:t>
                      </w:r>
                      <w:r>
                        <w:rPr>
                          <w:rFonts w:cs="Calibri"/>
                          <w:sz w:val="20"/>
                          <w:szCs w:val="20"/>
                          <w:lang w:val="el-GR"/>
                        </w:rPr>
                        <w:t xml:space="preserve">η, στον κλάδο, </w:t>
                      </w:r>
                      <w:r w:rsidRPr="00756570">
                        <w:rPr>
                          <w:rFonts w:cs="Calibri"/>
                          <w:sz w:val="20"/>
                          <w:szCs w:val="20"/>
                          <w:lang w:val="el-GR"/>
                        </w:rPr>
                        <w:t xml:space="preserve">χρήση </w:t>
                      </w:r>
                      <w:r>
                        <w:rPr>
                          <w:rFonts w:cs="Calibri"/>
                          <w:sz w:val="20"/>
                          <w:szCs w:val="20"/>
                          <w:lang w:val="el-GR"/>
                        </w:rPr>
                        <w:t xml:space="preserve">εγγυήσεων </w:t>
                      </w:r>
                      <w:r w:rsidRPr="00756570">
                        <w:rPr>
                          <w:rFonts w:cs="Calibri"/>
                          <w:sz w:val="20"/>
                          <w:szCs w:val="20"/>
                          <w:lang w:val="el-GR"/>
                        </w:rPr>
                        <w:t xml:space="preserve">μέσω του προγράμματος </w:t>
                      </w:r>
                      <w:r>
                        <w:rPr>
                          <w:rFonts w:cs="Calibri"/>
                          <w:sz w:val="20"/>
                          <w:szCs w:val="20"/>
                          <w:lang w:val="el-GR"/>
                        </w:rPr>
                        <w:t>Ηρακλής</w:t>
                      </w:r>
                    </w:p>
                    <w:p w14:paraId="7D3B32C6" w14:textId="77777777" w:rsidR="00EA6E38" w:rsidRPr="00555467" w:rsidRDefault="00EA6E38" w:rsidP="00347470">
                      <w:pPr>
                        <w:pStyle w:val="ListParagraph"/>
                        <w:numPr>
                          <w:ilvl w:val="0"/>
                          <w:numId w:val="37"/>
                        </w:numPr>
                        <w:tabs>
                          <w:tab w:val="left" w:pos="10348"/>
                        </w:tabs>
                        <w:spacing w:after="80" w:line="276" w:lineRule="auto"/>
                        <w:ind w:left="2268" w:right="255" w:hanging="357"/>
                        <w:contextualSpacing w:val="0"/>
                        <w:jc w:val="both"/>
                        <w:rPr>
                          <w:rFonts w:cs="Calibri"/>
                          <w:sz w:val="20"/>
                          <w:szCs w:val="20"/>
                          <w:lang w:val="el-GR"/>
                        </w:rPr>
                      </w:pPr>
                      <w:r w:rsidRPr="00555467">
                        <w:rPr>
                          <w:rFonts w:cs="Calibri"/>
                          <w:b/>
                          <w:sz w:val="20"/>
                          <w:szCs w:val="20"/>
                          <w:lang w:val="el-GR"/>
                        </w:rPr>
                        <w:t xml:space="preserve">Διαχείριση </w:t>
                      </w:r>
                      <w:r w:rsidRPr="00756570">
                        <w:rPr>
                          <w:rFonts w:cs="Calibri"/>
                          <w:b/>
                          <w:sz w:val="20"/>
                          <w:szCs w:val="20"/>
                          <w:lang w:val="el-GR"/>
                        </w:rPr>
                        <w:t>ΝΡΕ</w:t>
                      </w:r>
                      <w:r w:rsidRPr="00555467">
                        <w:rPr>
                          <w:rFonts w:cs="Calibri"/>
                          <w:sz w:val="20"/>
                          <w:szCs w:val="20"/>
                          <w:lang w:val="el-GR"/>
                        </w:rPr>
                        <w:t xml:space="preserve"> – 1</w:t>
                      </w:r>
                      <w:r>
                        <w:rPr>
                          <w:rFonts w:cs="Calibri"/>
                          <w:sz w:val="20"/>
                          <w:szCs w:val="20"/>
                          <w:lang w:val="el-GR"/>
                        </w:rPr>
                        <w:t>η</w:t>
                      </w:r>
                      <w:r w:rsidRPr="00555467">
                        <w:rPr>
                          <w:rFonts w:cs="Calibri"/>
                          <w:sz w:val="20"/>
                          <w:szCs w:val="20"/>
                          <w:lang w:val="el-GR"/>
                        </w:rPr>
                        <w:t xml:space="preserve"> </w:t>
                      </w:r>
                      <w:r>
                        <w:rPr>
                          <w:rFonts w:cs="Calibri"/>
                          <w:sz w:val="20"/>
                          <w:szCs w:val="20"/>
                          <w:lang w:val="el-GR"/>
                        </w:rPr>
                        <w:t>τράπεζα</w:t>
                      </w:r>
                      <w:r w:rsidRPr="00555467">
                        <w:rPr>
                          <w:rFonts w:cs="Calibri"/>
                          <w:sz w:val="20"/>
                          <w:szCs w:val="20"/>
                          <w:lang w:val="el-GR"/>
                        </w:rPr>
                        <w:t xml:space="preserve"> </w:t>
                      </w:r>
                      <w:r>
                        <w:rPr>
                          <w:rFonts w:cs="Calibri"/>
                          <w:sz w:val="20"/>
                          <w:szCs w:val="20"/>
                          <w:lang w:val="el-GR"/>
                        </w:rPr>
                        <w:t>στην</w:t>
                      </w:r>
                      <w:r w:rsidRPr="00555467">
                        <w:rPr>
                          <w:rFonts w:cs="Calibri"/>
                          <w:sz w:val="20"/>
                          <w:szCs w:val="20"/>
                          <w:lang w:val="el-GR"/>
                        </w:rPr>
                        <w:t xml:space="preserve"> </w:t>
                      </w:r>
                      <w:r>
                        <w:rPr>
                          <w:rFonts w:cs="Calibri"/>
                          <w:sz w:val="20"/>
                          <w:szCs w:val="20"/>
                          <w:lang w:val="el-GR"/>
                        </w:rPr>
                        <w:t>Ελλάδα</w:t>
                      </w:r>
                      <w:r w:rsidRPr="00555467">
                        <w:rPr>
                          <w:rFonts w:cs="Calibri"/>
                          <w:sz w:val="20"/>
                          <w:szCs w:val="20"/>
                          <w:lang w:val="el-GR"/>
                        </w:rPr>
                        <w:t xml:space="preserve"> </w:t>
                      </w:r>
                      <w:r>
                        <w:rPr>
                          <w:rFonts w:cs="Calibri"/>
                          <w:sz w:val="20"/>
                          <w:szCs w:val="20"/>
                          <w:lang w:val="el-GR"/>
                        </w:rPr>
                        <w:t>που</w:t>
                      </w:r>
                      <w:r w:rsidRPr="00555467">
                        <w:rPr>
                          <w:rFonts w:cs="Calibri"/>
                          <w:sz w:val="20"/>
                          <w:szCs w:val="20"/>
                          <w:lang w:val="el-GR"/>
                        </w:rPr>
                        <w:t xml:space="preserve"> </w:t>
                      </w:r>
                      <w:r>
                        <w:rPr>
                          <w:rFonts w:cs="Calibri"/>
                          <w:sz w:val="20"/>
                          <w:szCs w:val="20"/>
                          <w:lang w:val="el-GR"/>
                        </w:rPr>
                        <w:t>προχώρησε</w:t>
                      </w:r>
                      <w:r w:rsidRPr="00555467">
                        <w:rPr>
                          <w:rFonts w:cs="Calibri"/>
                          <w:sz w:val="20"/>
                          <w:szCs w:val="20"/>
                          <w:lang w:val="el-GR"/>
                        </w:rPr>
                        <w:t xml:space="preserve"> </w:t>
                      </w:r>
                      <w:r>
                        <w:rPr>
                          <w:rFonts w:cs="Calibri"/>
                          <w:sz w:val="20"/>
                          <w:szCs w:val="20"/>
                          <w:lang w:val="el-GR"/>
                        </w:rPr>
                        <w:t>σε</w:t>
                      </w:r>
                      <w:r w:rsidRPr="00555467">
                        <w:rPr>
                          <w:rFonts w:cs="Calibri"/>
                          <w:sz w:val="20"/>
                          <w:szCs w:val="20"/>
                          <w:lang w:val="el-GR"/>
                        </w:rPr>
                        <w:t xml:space="preserve"> </w:t>
                      </w:r>
                      <w:r>
                        <w:rPr>
                          <w:rFonts w:cs="Calibri"/>
                          <w:sz w:val="20"/>
                          <w:szCs w:val="20"/>
                          <w:lang w:val="el-GR"/>
                        </w:rPr>
                        <w:t>στρατηγική</w:t>
                      </w:r>
                      <w:r w:rsidRPr="00555467">
                        <w:rPr>
                          <w:rFonts w:cs="Calibri"/>
                          <w:sz w:val="20"/>
                          <w:szCs w:val="20"/>
                          <w:lang w:val="el-GR"/>
                        </w:rPr>
                        <w:t xml:space="preserve"> </w:t>
                      </w:r>
                      <w:r>
                        <w:rPr>
                          <w:rFonts w:cs="Calibri"/>
                          <w:sz w:val="20"/>
                          <w:szCs w:val="20"/>
                          <w:lang w:val="el-GR"/>
                        </w:rPr>
                        <w:t xml:space="preserve">συνεργασία με ανεξάρτητο διαχειριστή </w:t>
                      </w:r>
                      <w:r>
                        <w:rPr>
                          <w:rFonts w:cs="Calibri"/>
                          <w:sz w:val="20"/>
                          <w:szCs w:val="20"/>
                        </w:rPr>
                        <w:t>NPE</w:t>
                      </w:r>
                      <w:r w:rsidRPr="00555467">
                        <w:rPr>
                          <w:rFonts w:cs="Calibri"/>
                          <w:sz w:val="20"/>
                          <w:szCs w:val="20"/>
                          <w:lang w:val="el-GR"/>
                        </w:rPr>
                        <w:t xml:space="preserve"> </w:t>
                      </w:r>
                      <w:r>
                        <w:rPr>
                          <w:rFonts w:cs="Calibri"/>
                          <w:sz w:val="20"/>
                          <w:szCs w:val="20"/>
                          <w:lang w:val="el-GR"/>
                        </w:rPr>
                        <w:t xml:space="preserve">στα μέσα του </w:t>
                      </w:r>
                      <w:r w:rsidRPr="00555467">
                        <w:rPr>
                          <w:rFonts w:cs="Calibri"/>
                          <w:sz w:val="20"/>
                          <w:szCs w:val="20"/>
                          <w:lang w:val="el-GR"/>
                        </w:rPr>
                        <w:t>2019</w:t>
                      </w:r>
                    </w:p>
                    <w:p w14:paraId="6317D348" w14:textId="3A72ED53" w:rsidR="00EA6E38" w:rsidRPr="00530F75" w:rsidRDefault="00EA6E38" w:rsidP="00347470">
                      <w:pPr>
                        <w:pStyle w:val="ListParagraph"/>
                        <w:numPr>
                          <w:ilvl w:val="0"/>
                          <w:numId w:val="37"/>
                        </w:numPr>
                        <w:tabs>
                          <w:tab w:val="left" w:pos="10348"/>
                        </w:tabs>
                        <w:spacing w:after="80" w:line="276" w:lineRule="auto"/>
                        <w:ind w:left="2268" w:right="255" w:hanging="357"/>
                        <w:contextualSpacing w:val="0"/>
                        <w:jc w:val="both"/>
                        <w:rPr>
                          <w:rFonts w:cs="Calibri"/>
                          <w:sz w:val="20"/>
                          <w:szCs w:val="20"/>
                          <w:lang w:val="el-GR"/>
                        </w:rPr>
                      </w:pPr>
                      <w:r w:rsidRPr="00530F75">
                        <w:rPr>
                          <w:rFonts w:cs="Calibri"/>
                          <w:b/>
                          <w:sz w:val="20"/>
                          <w:szCs w:val="20"/>
                          <w:lang w:val="el-GR"/>
                        </w:rPr>
                        <w:t>Πώληση Πλατφόρμας Αποδοχής Καρτών</w:t>
                      </w:r>
                      <w:r w:rsidRPr="00530F75">
                        <w:rPr>
                          <w:rFonts w:cs="Calibri"/>
                          <w:sz w:val="20"/>
                          <w:szCs w:val="20"/>
                          <w:lang w:val="el-GR"/>
                        </w:rPr>
                        <w:t xml:space="preserve"> – 1η Τράπεζα στην Ελλάδα που </w:t>
                      </w:r>
                      <w:r>
                        <w:rPr>
                          <w:rFonts w:cs="Calibri"/>
                          <w:sz w:val="20"/>
                          <w:szCs w:val="20"/>
                          <w:lang w:val="el-GR"/>
                        </w:rPr>
                        <w:t>συμφώνησε</w:t>
                      </w:r>
                      <w:r w:rsidRPr="00530F75">
                        <w:rPr>
                          <w:rFonts w:cs="Calibri"/>
                          <w:sz w:val="20"/>
                          <w:szCs w:val="20"/>
                          <w:lang w:val="el-GR"/>
                        </w:rPr>
                        <w:t xml:space="preserve"> </w:t>
                      </w:r>
                      <w:r>
                        <w:rPr>
                          <w:rFonts w:cs="Calibri"/>
                          <w:sz w:val="20"/>
                          <w:szCs w:val="20"/>
                          <w:lang w:val="el-GR"/>
                        </w:rPr>
                        <w:t xml:space="preserve">την </w:t>
                      </w:r>
                      <w:r w:rsidRPr="00530F75">
                        <w:rPr>
                          <w:rFonts w:cs="Calibri"/>
                          <w:sz w:val="20"/>
                          <w:szCs w:val="20"/>
                          <w:lang w:val="el-GR"/>
                        </w:rPr>
                        <w:t>απόσχιση και πώληση της πλατφόρμας αποδοχής καρτών</w:t>
                      </w:r>
                      <w:r>
                        <w:rPr>
                          <w:rFonts w:cs="Calibri"/>
                          <w:sz w:val="20"/>
                          <w:szCs w:val="20"/>
                          <w:lang w:val="el-GR"/>
                        </w:rPr>
                        <w:t>,</w:t>
                      </w:r>
                      <w:r w:rsidRPr="00530F75">
                        <w:rPr>
                          <w:rFonts w:cs="Calibri"/>
                          <w:sz w:val="20"/>
                          <w:szCs w:val="20"/>
                          <w:lang w:val="el-GR"/>
                        </w:rPr>
                        <w:t xml:space="preserve"> επιτυγχάνοντας υψηλό δείκτη απ</w:t>
                      </w:r>
                      <w:r>
                        <w:rPr>
                          <w:rFonts w:cs="Calibri"/>
                          <w:sz w:val="20"/>
                          <w:szCs w:val="20"/>
                          <w:lang w:val="el-GR"/>
                        </w:rPr>
                        <w:t>ο</w:t>
                      </w:r>
                      <w:r w:rsidRPr="00530F75">
                        <w:rPr>
                          <w:rFonts w:cs="Calibri"/>
                          <w:sz w:val="20"/>
                          <w:szCs w:val="20"/>
                          <w:lang w:val="el-GR"/>
                        </w:rPr>
                        <w:t xml:space="preserve">τίμησης </w:t>
                      </w:r>
                    </w:p>
                    <w:p w14:paraId="24116D04" w14:textId="77777777" w:rsidR="00EA6E38" w:rsidRDefault="00EA6E38" w:rsidP="00347470">
                      <w:pPr>
                        <w:pStyle w:val="ListParagraph"/>
                        <w:numPr>
                          <w:ilvl w:val="0"/>
                          <w:numId w:val="37"/>
                        </w:numPr>
                        <w:tabs>
                          <w:tab w:val="left" w:pos="10348"/>
                        </w:tabs>
                        <w:spacing w:after="80" w:line="276" w:lineRule="auto"/>
                        <w:ind w:left="2268" w:right="255" w:hanging="357"/>
                        <w:contextualSpacing w:val="0"/>
                        <w:jc w:val="both"/>
                        <w:rPr>
                          <w:rFonts w:cs="Calibri"/>
                          <w:sz w:val="20"/>
                          <w:szCs w:val="20"/>
                          <w:lang w:val="el-GR"/>
                        </w:rPr>
                      </w:pPr>
                      <w:r w:rsidRPr="00530F75">
                        <w:rPr>
                          <w:rFonts w:cs="Calibri"/>
                          <w:b/>
                          <w:sz w:val="20"/>
                          <w:szCs w:val="20"/>
                          <w:lang w:val="el-GR"/>
                        </w:rPr>
                        <w:t>Συνθετική Τιτλοποίηση</w:t>
                      </w:r>
                      <w:r w:rsidRPr="00530F75">
                        <w:rPr>
                          <w:rFonts w:cs="Calibri"/>
                          <w:sz w:val="20"/>
                          <w:szCs w:val="20"/>
                          <w:lang w:val="el-GR"/>
                        </w:rPr>
                        <w:t xml:space="preserve"> – 1η Τράπεζα στην Ελλάδα που προχώρησε σε συνθετική τιτλοποίηση χαρτοφυλακίου εξυπηρετούμενων δανείων στις αρχές του 2021</w:t>
                      </w:r>
                    </w:p>
                    <w:p w14:paraId="4B8FEF98" w14:textId="509C7EF9" w:rsidR="00EA6E38" w:rsidRPr="00530F75" w:rsidRDefault="00EA6E38" w:rsidP="00347470">
                      <w:pPr>
                        <w:pStyle w:val="ListParagraph"/>
                        <w:numPr>
                          <w:ilvl w:val="0"/>
                          <w:numId w:val="37"/>
                        </w:numPr>
                        <w:tabs>
                          <w:tab w:val="left" w:pos="10348"/>
                        </w:tabs>
                        <w:spacing w:after="80" w:line="276" w:lineRule="auto"/>
                        <w:ind w:left="2268" w:right="255" w:hanging="357"/>
                        <w:contextualSpacing w:val="0"/>
                        <w:jc w:val="both"/>
                        <w:rPr>
                          <w:rFonts w:cs="Calibri"/>
                          <w:sz w:val="20"/>
                          <w:szCs w:val="20"/>
                          <w:lang w:val="el-GR"/>
                        </w:rPr>
                      </w:pPr>
                      <w:r w:rsidRPr="00530F75">
                        <w:rPr>
                          <w:rFonts w:cs="Calibri"/>
                          <w:b/>
                          <w:sz w:val="20"/>
                          <w:szCs w:val="20"/>
                          <w:lang w:val="el-GR"/>
                        </w:rPr>
                        <w:t xml:space="preserve">Αναπτυξιακά Προγράμματα </w:t>
                      </w:r>
                      <w:r w:rsidRPr="00530F75">
                        <w:rPr>
                          <w:rFonts w:cs="Calibri"/>
                          <w:sz w:val="20"/>
                          <w:szCs w:val="20"/>
                          <w:lang w:val="el-GR"/>
                        </w:rPr>
                        <w:t xml:space="preserve">– </w:t>
                      </w:r>
                      <w:r>
                        <w:rPr>
                          <w:rFonts w:cs="Calibri"/>
                          <w:sz w:val="20"/>
                          <w:szCs w:val="20"/>
                          <w:lang w:val="el-GR"/>
                        </w:rPr>
                        <w:t>Συνεργασίες</w:t>
                      </w:r>
                      <w:r w:rsidRPr="00530F75">
                        <w:rPr>
                          <w:rFonts w:cs="Calibri"/>
                          <w:sz w:val="20"/>
                          <w:szCs w:val="20"/>
                          <w:lang w:val="el-GR"/>
                        </w:rPr>
                        <w:t xml:space="preserve"> </w:t>
                      </w:r>
                      <w:r>
                        <w:rPr>
                          <w:rFonts w:cs="Calibri"/>
                          <w:sz w:val="20"/>
                          <w:szCs w:val="20"/>
                          <w:lang w:val="el-GR"/>
                        </w:rPr>
                        <w:t>ύψους</w:t>
                      </w:r>
                      <w:r w:rsidRPr="00530F75">
                        <w:rPr>
                          <w:rFonts w:cs="Calibri"/>
                          <w:sz w:val="20"/>
                          <w:szCs w:val="20"/>
                          <w:lang w:val="el-GR"/>
                        </w:rPr>
                        <w:t xml:space="preserve"> €6 </w:t>
                      </w:r>
                      <w:r>
                        <w:rPr>
                          <w:rFonts w:cs="Calibri"/>
                          <w:sz w:val="20"/>
                          <w:szCs w:val="20"/>
                          <w:lang w:val="el-GR"/>
                        </w:rPr>
                        <w:t>δισ</w:t>
                      </w:r>
                      <w:r w:rsidRPr="00530F75">
                        <w:rPr>
                          <w:rFonts w:cs="Calibri"/>
                          <w:sz w:val="20"/>
                          <w:szCs w:val="20"/>
                          <w:lang w:val="el-GR"/>
                        </w:rPr>
                        <w:t xml:space="preserve">. </w:t>
                      </w:r>
                      <w:r>
                        <w:rPr>
                          <w:rFonts w:cs="Calibri"/>
                          <w:sz w:val="20"/>
                          <w:szCs w:val="20"/>
                          <w:lang w:val="el-GR"/>
                        </w:rPr>
                        <w:t>με</w:t>
                      </w:r>
                      <w:r w:rsidRPr="00530F75">
                        <w:rPr>
                          <w:rFonts w:cs="Calibri"/>
                          <w:sz w:val="20"/>
                          <w:szCs w:val="20"/>
                          <w:lang w:val="el-GR"/>
                        </w:rPr>
                        <w:t xml:space="preserve"> </w:t>
                      </w:r>
                      <w:r>
                        <w:rPr>
                          <w:rFonts w:cs="Calibri"/>
                          <w:sz w:val="20"/>
                          <w:szCs w:val="20"/>
                          <w:lang w:val="el-GR"/>
                        </w:rPr>
                        <w:t>αναπτυξιακά</w:t>
                      </w:r>
                      <w:r w:rsidRPr="00530F75">
                        <w:rPr>
                          <w:rFonts w:cs="Calibri"/>
                          <w:sz w:val="20"/>
                          <w:szCs w:val="20"/>
                          <w:lang w:val="el-GR"/>
                        </w:rPr>
                        <w:t xml:space="preserve"> </w:t>
                      </w:r>
                      <w:r>
                        <w:rPr>
                          <w:rFonts w:cs="Calibri"/>
                          <w:sz w:val="20"/>
                          <w:szCs w:val="20"/>
                          <w:lang w:val="el-GR"/>
                        </w:rPr>
                        <w:t>ταμεία και διεθνείς οργανισμούς</w:t>
                      </w:r>
                      <w:r w:rsidRPr="00530F75">
                        <w:rPr>
                          <w:rFonts w:cs="Calibri"/>
                          <w:sz w:val="20"/>
                          <w:szCs w:val="20"/>
                          <w:lang w:val="el-GR"/>
                        </w:rPr>
                        <w:t>,</w:t>
                      </w:r>
                      <w:r>
                        <w:rPr>
                          <w:rFonts w:cs="Calibri"/>
                          <w:sz w:val="20"/>
                          <w:szCs w:val="20"/>
                          <w:lang w:val="el-GR"/>
                        </w:rPr>
                        <w:t xml:space="preserve"> ο μεγαλύτερος διαχειριστής διαρθρωτικών πόρων της Ευρωπαϊκής Ένωσης στην Ελλάδα</w:t>
                      </w:r>
                    </w:p>
                    <w:p w14:paraId="6BE77C73" w14:textId="6C527C89" w:rsidR="00EA6E38" w:rsidRPr="00530F75" w:rsidRDefault="00EA6E38" w:rsidP="00347470">
                      <w:pPr>
                        <w:pStyle w:val="ListParagraph"/>
                        <w:numPr>
                          <w:ilvl w:val="0"/>
                          <w:numId w:val="37"/>
                        </w:numPr>
                        <w:tabs>
                          <w:tab w:val="left" w:pos="10348"/>
                        </w:tabs>
                        <w:spacing w:after="80" w:line="276" w:lineRule="auto"/>
                        <w:ind w:left="2268" w:right="255" w:hanging="357"/>
                        <w:contextualSpacing w:val="0"/>
                        <w:jc w:val="both"/>
                        <w:rPr>
                          <w:rFonts w:cs="Calibri"/>
                          <w:sz w:val="20"/>
                          <w:szCs w:val="20"/>
                          <w:lang w:val="el-GR"/>
                        </w:rPr>
                      </w:pPr>
                      <w:r w:rsidRPr="00530F75">
                        <w:rPr>
                          <w:rFonts w:cs="Calibri"/>
                          <w:b/>
                          <w:sz w:val="20"/>
                          <w:szCs w:val="20"/>
                          <w:lang w:val="el-GR"/>
                        </w:rPr>
                        <w:t>Λειτουργικά Έξοδα</w:t>
                      </w:r>
                      <w:r w:rsidRPr="00530F75">
                        <w:rPr>
                          <w:rFonts w:cs="Calibri"/>
                          <w:sz w:val="20"/>
                          <w:szCs w:val="20"/>
                          <w:lang w:val="el-GR"/>
                        </w:rPr>
                        <w:t xml:space="preserve"> – Πρώτη θέση στον ελληνικό τραπεζικό τομέα, με </w:t>
                      </w:r>
                      <w:r>
                        <w:rPr>
                          <w:rFonts w:cs="Calibri"/>
                          <w:sz w:val="20"/>
                          <w:szCs w:val="20"/>
                          <w:lang w:val="el-GR"/>
                        </w:rPr>
                        <w:t xml:space="preserve">τη μεγαλύτερη μείωση </w:t>
                      </w:r>
                      <w:r w:rsidRPr="00530F75">
                        <w:rPr>
                          <w:rFonts w:cs="Calibri"/>
                          <w:sz w:val="20"/>
                          <w:szCs w:val="20"/>
                          <w:lang w:val="el-GR"/>
                        </w:rPr>
                        <w:t>κόστους περ</w:t>
                      </w:r>
                      <w:r>
                        <w:rPr>
                          <w:rFonts w:cs="Calibri"/>
                          <w:sz w:val="20"/>
                          <w:szCs w:val="20"/>
                          <w:lang w:val="el-GR"/>
                        </w:rPr>
                        <w:t xml:space="preserve">ίπου </w:t>
                      </w:r>
                      <w:r w:rsidRPr="00530F75">
                        <w:rPr>
                          <w:rFonts w:cs="Calibri"/>
                          <w:sz w:val="20"/>
                          <w:szCs w:val="20"/>
                          <w:lang w:val="el-GR"/>
                        </w:rPr>
                        <w:t>30% τα τελευταία 4 χρόνια</w:t>
                      </w:r>
                    </w:p>
                    <w:p w14:paraId="2A9E26A3" w14:textId="4D19D57A" w:rsidR="00EA6E38" w:rsidRDefault="00EA6E38" w:rsidP="00347470">
                      <w:pPr>
                        <w:pStyle w:val="ListParagraph"/>
                        <w:numPr>
                          <w:ilvl w:val="0"/>
                          <w:numId w:val="37"/>
                        </w:numPr>
                        <w:tabs>
                          <w:tab w:val="left" w:pos="10348"/>
                        </w:tabs>
                        <w:spacing w:after="80" w:line="276" w:lineRule="auto"/>
                        <w:ind w:left="2268" w:right="255" w:hanging="357"/>
                        <w:contextualSpacing w:val="0"/>
                        <w:jc w:val="both"/>
                        <w:rPr>
                          <w:rFonts w:cs="Calibri"/>
                          <w:sz w:val="20"/>
                          <w:szCs w:val="20"/>
                          <w:lang w:val="el-GR"/>
                        </w:rPr>
                      </w:pPr>
                      <w:r w:rsidRPr="00530F75">
                        <w:rPr>
                          <w:rFonts w:cs="Calibri"/>
                          <w:b/>
                          <w:sz w:val="20"/>
                          <w:szCs w:val="20"/>
                          <w:lang w:val="el-GR"/>
                        </w:rPr>
                        <w:t xml:space="preserve">Πρωτοπορία </w:t>
                      </w:r>
                      <w:r w:rsidRPr="00530F75">
                        <w:rPr>
                          <w:rFonts w:cs="Calibri"/>
                          <w:b/>
                          <w:sz w:val="20"/>
                          <w:szCs w:val="20"/>
                        </w:rPr>
                        <w:t>ESG</w:t>
                      </w:r>
                      <w:r w:rsidRPr="00530F75">
                        <w:rPr>
                          <w:rFonts w:cs="Calibri"/>
                          <w:sz w:val="20"/>
                          <w:szCs w:val="20"/>
                          <w:lang w:val="el-GR"/>
                        </w:rPr>
                        <w:t xml:space="preserve"> – </w:t>
                      </w:r>
                      <w:r>
                        <w:rPr>
                          <w:rFonts w:cs="Calibri"/>
                          <w:sz w:val="20"/>
                          <w:szCs w:val="20"/>
                          <w:lang w:val="el-GR"/>
                        </w:rPr>
                        <w:t>Η μοναδική ελληνική τράπεζα που συμπεριλαμβάνεται στους "</w:t>
                      </w:r>
                      <w:r w:rsidRPr="00303644">
                        <w:rPr>
                          <w:rFonts w:cs="Calibri"/>
                          <w:sz w:val="20"/>
                          <w:szCs w:val="20"/>
                        </w:rPr>
                        <w:t>Europe</w:t>
                      </w:r>
                      <w:r w:rsidRPr="00530F75">
                        <w:rPr>
                          <w:rFonts w:cs="Calibri"/>
                          <w:sz w:val="20"/>
                          <w:szCs w:val="20"/>
                          <w:lang w:val="el-GR"/>
                        </w:rPr>
                        <w:t>’</w:t>
                      </w:r>
                      <w:r w:rsidRPr="00303644">
                        <w:rPr>
                          <w:rFonts w:cs="Calibri"/>
                          <w:sz w:val="20"/>
                          <w:szCs w:val="20"/>
                        </w:rPr>
                        <w:t>s</w:t>
                      </w:r>
                      <w:r w:rsidRPr="00530F75">
                        <w:rPr>
                          <w:rFonts w:cs="Calibri"/>
                          <w:sz w:val="20"/>
                          <w:szCs w:val="20"/>
                          <w:lang w:val="el-GR"/>
                        </w:rPr>
                        <w:t xml:space="preserve"> 2021 </w:t>
                      </w:r>
                      <w:r w:rsidRPr="00303644">
                        <w:rPr>
                          <w:rFonts w:cs="Calibri"/>
                          <w:sz w:val="20"/>
                          <w:szCs w:val="20"/>
                        </w:rPr>
                        <w:t>Climate</w:t>
                      </w:r>
                      <w:r w:rsidRPr="00530F75">
                        <w:rPr>
                          <w:rFonts w:cs="Calibri"/>
                          <w:sz w:val="20"/>
                          <w:szCs w:val="20"/>
                          <w:lang w:val="el-GR"/>
                        </w:rPr>
                        <w:t xml:space="preserve"> </w:t>
                      </w:r>
                      <w:r w:rsidRPr="00303644">
                        <w:rPr>
                          <w:rFonts w:cs="Calibri"/>
                          <w:sz w:val="20"/>
                          <w:szCs w:val="20"/>
                        </w:rPr>
                        <w:t>Leaders</w:t>
                      </w:r>
                      <w:r w:rsidRPr="00530F75">
                        <w:rPr>
                          <w:rFonts w:cs="Calibri"/>
                          <w:sz w:val="20"/>
                          <w:szCs w:val="20"/>
                          <w:lang w:val="el-GR"/>
                        </w:rPr>
                        <w:t>”</w:t>
                      </w:r>
                      <w:r>
                        <w:rPr>
                          <w:rFonts w:cs="Calibri"/>
                          <w:sz w:val="20"/>
                          <w:szCs w:val="20"/>
                          <w:lang w:val="el-GR"/>
                        </w:rPr>
                        <w:t xml:space="preserve"> των </w:t>
                      </w:r>
                      <w:r>
                        <w:rPr>
                          <w:rFonts w:cs="Calibri"/>
                          <w:sz w:val="20"/>
                          <w:szCs w:val="20"/>
                        </w:rPr>
                        <w:t>Financial</w:t>
                      </w:r>
                      <w:r w:rsidRPr="00530F75">
                        <w:rPr>
                          <w:rFonts w:cs="Calibri"/>
                          <w:sz w:val="20"/>
                          <w:szCs w:val="20"/>
                          <w:lang w:val="el-GR"/>
                        </w:rPr>
                        <w:t xml:space="preserve"> </w:t>
                      </w:r>
                      <w:r>
                        <w:rPr>
                          <w:rFonts w:cs="Calibri"/>
                          <w:sz w:val="20"/>
                          <w:szCs w:val="20"/>
                        </w:rPr>
                        <w:t>Times</w:t>
                      </w:r>
                      <w:r w:rsidRPr="00530F75">
                        <w:rPr>
                          <w:rFonts w:cs="Calibri"/>
                          <w:sz w:val="20"/>
                          <w:szCs w:val="20"/>
                          <w:lang w:val="el-GR"/>
                        </w:rPr>
                        <w:t xml:space="preserve">, </w:t>
                      </w:r>
                      <w:r>
                        <w:rPr>
                          <w:rFonts w:cs="Calibri"/>
                          <w:sz w:val="20"/>
                          <w:szCs w:val="20"/>
                          <w:lang w:val="el-GR"/>
                        </w:rPr>
                        <w:t xml:space="preserve">με το </w:t>
                      </w:r>
                      <w:r w:rsidRPr="00530F75">
                        <w:rPr>
                          <w:rFonts w:cs="Calibri"/>
                          <w:sz w:val="20"/>
                          <w:szCs w:val="20"/>
                          <w:lang w:val="el-GR"/>
                        </w:rPr>
                        <w:t xml:space="preserve">μεγαλύτερο χαρτοφυλάκιο </w:t>
                      </w:r>
                      <w:r>
                        <w:rPr>
                          <w:rFonts w:cs="Calibri"/>
                          <w:sz w:val="20"/>
                          <w:szCs w:val="20"/>
                          <w:lang w:val="el-GR"/>
                        </w:rPr>
                        <w:t>πράσινων χρηματοδοτήσεων (συμπεριλαμβανομένων των ανανεώσιμων πηγών ενέργειας)</w:t>
                      </w:r>
                      <w:r w:rsidRPr="00530F75">
                        <w:rPr>
                          <w:rFonts w:cs="Calibri"/>
                          <w:sz w:val="20"/>
                          <w:szCs w:val="20"/>
                          <w:lang w:val="el-GR"/>
                        </w:rPr>
                        <w:t xml:space="preserve">, 1η Τράπεζα στην Ελλάδα που </w:t>
                      </w:r>
                      <w:r>
                        <w:rPr>
                          <w:rFonts w:cs="Calibri"/>
                          <w:sz w:val="20"/>
                          <w:szCs w:val="20"/>
                          <w:lang w:val="el-GR"/>
                        </w:rPr>
                        <w:t xml:space="preserve">πραγματοποίησε εταιρικές χρηματοδοτήσεις με κριτήρια </w:t>
                      </w:r>
                      <w:r>
                        <w:rPr>
                          <w:rFonts w:cs="Calibri"/>
                          <w:sz w:val="20"/>
                          <w:szCs w:val="20"/>
                        </w:rPr>
                        <w:t>ESG</w:t>
                      </w:r>
                      <w:r w:rsidRPr="00452F13">
                        <w:rPr>
                          <w:rFonts w:cs="Calibri"/>
                          <w:sz w:val="20"/>
                          <w:szCs w:val="20"/>
                          <w:lang w:val="el-GR"/>
                        </w:rPr>
                        <w:t xml:space="preserve">. </w:t>
                      </w:r>
                      <w:r>
                        <w:rPr>
                          <w:rFonts w:cs="Calibri"/>
                          <w:sz w:val="20"/>
                          <w:szCs w:val="20"/>
                          <w:lang w:val="el-GR"/>
                        </w:rPr>
                        <w:t xml:space="preserve">Πρώτη Τράπεζα που </w:t>
                      </w:r>
                      <w:r w:rsidRPr="00530F75">
                        <w:rPr>
                          <w:rFonts w:cs="Calibri"/>
                          <w:sz w:val="20"/>
                          <w:szCs w:val="20"/>
                          <w:lang w:val="el-GR"/>
                        </w:rPr>
                        <w:t xml:space="preserve">εξέδωσε </w:t>
                      </w:r>
                      <w:r w:rsidRPr="00530F75">
                        <w:rPr>
                          <w:rFonts w:cs="Calibri"/>
                          <w:sz w:val="20"/>
                          <w:szCs w:val="20"/>
                        </w:rPr>
                        <w:t>ESG</w:t>
                      </w:r>
                      <w:r w:rsidRPr="00530F75">
                        <w:rPr>
                          <w:rFonts w:cs="Calibri"/>
                          <w:sz w:val="20"/>
                          <w:szCs w:val="20"/>
                          <w:lang w:val="el-GR"/>
                        </w:rPr>
                        <w:t xml:space="preserve"> ομόλογο και αμοιβαίο κεφάλαιο</w:t>
                      </w:r>
                    </w:p>
                    <w:p w14:paraId="6DDBBC77" w14:textId="77777777" w:rsidR="00EA6E38" w:rsidRPr="00E1370A" w:rsidRDefault="00EA6E38" w:rsidP="00AE4B81">
                      <w:pPr>
                        <w:pStyle w:val="ListParagraph"/>
                        <w:tabs>
                          <w:tab w:val="left" w:pos="5040"/>
                          <w:tab w:val="left" w:pos="10348"/>
                        </w:tabs>
                        <w:spacing w:after="120"/>
                        <w:ind w:left="2552" w:right="258"/>
                        <w:contextualSpacing w:val="0"/>
                        <w:rPr>
                          <w:rFonts w:cs="Calibri"/>
                          <w:b/>
                          <w:color w:val="6691AB"/>
                          <w:sz w:val="8"/>
                          <w:szCs w:val="20"/>
                          <w:lang w:val="el-GR"/>
                        </w:rPr>
                      </w:pPr>
                    </w:p>
                    <w:p w14:paraId="231EB162" w14:textId="77777777" w:rsidR="00EA6E38" w:rsidRPr="00084CF0" w:rsidRDefault="00EA6E38" w:rsidP="00B42689">
                      <w:pPr>
                        <w:pStyle w:val="ListParagraph"/>
                        <w:tabs>
                          <w:tab w:val="left" w:pos="10348"/>
                        </w:tabs>
                        <w:spacing w:line="264" w:lineRule="auto"/>
                        <w:ind w:left="2835" w:right="57"/>
                        <w:jc w:val="both"/>
                        <w:rPr>
                          <w:rFonts w:cs="Calibri"/>
                          <w:sz w:val="20"/>
                          <w:szCs w:val="20"/>
                          <w:lang w:val="el-GR"/>
                        </w:rPr>
                      </w:pPr>
                    </w:p>
                  </w:txbxContent>
                </v:textbox>
                <w10:wrap type="tight" anchorx="page"/>
              </v:rect>
            </w:pict>
          </mc:Fallback>
        </mc:AlternateContent>
      </w:r>
      <w:r w:rsidR="007D0DBD" w:rsidRPr="00AB10AB">
        <w:rPr>
          <w:rFonts w:eastAsia="Times New Roman" w:cs="Calibri"/>
          <w:b/>
          <w:noProof/>
          <w:color w:val="6691AB"/>
          <w:sz w:val="28"/>
          <w:szCs w:val="28"/>
          <w:lang w:eastAsia="el-GR"/>
        </w:rPr>
        <mc:AlternateContent>
          <mc:Choice Requires="wps">
            <w:drawing>
              <wp:anchor distT="0" distB="0" distL="114300" distR="114300" simplePos="0" relativeHeight="251695104" behindDoc="0" locked="0" layoutInCell="1" allowOverlap="1" wp14:anchorId="2E22C2B7" wp14:editId="3805DDB4">
                <wp:simplePos x="0" y="0"/>
                <wp:positionH relativeFrom="column">
                  <wp:posOffset>-1877060</wp:posOffset>
                </wp:positionH>
                <wp:positionV relativeFrom="paragraph">
                  <wp:posOffset>548971</wp:posOffset>
                </wp:positionV>
                <wp:extent cx="6400800" cy="0"/>
                <wp:effectExtent l="0" t="0" r="19050" b="19050"/>
                <wp:wrapNone/>
                <wp:docPr id="12" name="Straight Connector 100">
                  <a:extLst xmlns:a="http://schemas.openxmlformats.org/drawingml/2006/main">
                    <a:ext uri="{FF2B5EF4-FFF2-40B4-BE49-F238E27FC236}">
                      <a16:creationId xmlns:a16="http://schemas.microsoft.com/office/drawing/2014/main" id="{CE3EDDE5-9B23-44D7-8546-0B2365B42B16}"/>
                    </a:ext>
                  </a:extLst>
                </wp:docPr>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6691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B87A0" id="Straight Connector 100"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8pt,43.25pt" to="356.2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" strokecolor="#6691ab"/>
            </w:pict>
          </mc:Fallback>
        </mc:AlternateContent>
      </w:r>
      <w:r w:rsidR="00987026" w:rsidRPr="00DA0EBB">
        <w:rPr>
          <w:rFonts w:eastAsia="Times New Roman" w:cs="Calibri"/>
          <w:b/>
          <w:color w:val="6691AB"/>
          <w:sz w:val="28"/>
          <w:szCs w:val="28"/>
        </w:rPr>
        <w:t xml:space="preserve"> </w:t>
      </w:r>
      <w:r w:rsidR="00C11221" w:rsidRPr="00DA0EBB">
        <w:rPr>
          <w:rFonts w:eastAsia="Times New Roman" w:cs="Calibri"/>
          <w:b/>
          <w:color w:val="6691AB"/>
          <w:sz w:val="28"/>
          <w:szCs w:val="28"/>
        </w:rPr>
        <w:t xml:space="preserve"> </w:t>
      </w:r>
    </w:p>
    <w:p w14:paraId="4E756139" w14:textId="4162389C" w:rsidR="00265ADC" w:rsidRDefault="0085286B" w:rsidP="00B82093">
      <w:pPr>
        <w:tabs>
          <w:tab w:val="left" w:pos="5040"/>
        </w:tabs>
        <w:spacing w:before="240"/>
        <w:ind w:left="-720" w:right="-7"/>
        <w:jc w:val="right"/>
        <w:rPr>
          <w:rFonts w:eastAsia="Times New Roman" w:cs="Calibri"/>
          <w:b/>
          <w:color w:val="6691AB"/>
          <w:sz w:val="28"/>
          <w:szCs w:val="28"/>
        </w:rPr>
      </w:pPr>
      <w:r w:rsidRPr="007A419D">
        <w:rPr>
          <w:rFonts w:eastAsia="Times New Roman" w:cs="Calibri"/>
          <w:b/>
          <w:noProof/>
          <w:color w:val="FF0000"/>
          <w:sz w:val="28"/>
          <w:szCs w:val="28"/>
          <w:lang w:eastAsia="el-GR"/>
        </w:rPr>
        <w:lastRenderedPageBreak/>
        <mc:AlternateContent>
          <mc:Choice Requires="wps">
            <w:drawing>
              <wp:anchor distT="0" distB="0" distL="114300" distR="114300" simplePos="0" relativeHeight="251701248" behindDoc="1" locked="0" layoutInCell="1" allowOverlap="1" wp14:anchorId="10E3BA04" wp14:editId="5132DE41">
                <wp:simplePos x="0" y="0"/>
                <wp:positionH relativeFrom="page">
                  <wp:align>left</wp:align>
                </wp:positionH>
                <wp:positionV relativeFrom="paragraph">
                  <wp:posOffset>482600</wp:posOffset>
                </wp:positionV>
                <wp:extent cx="6864350" cy="7573010"/>
                <wp:effectExtent l="0" t="0" r="0" b="8890"/>
                <wp:wrapTight wrapText="bothSides">
                  <wp:wrapPolygon edited="0">
                    <wp:start x="0" y="0"/>
                    <wp:lineTo x="0" y="21571"/>
                    <wp:lineTo x="21520" y="21571"/>
                    <wp:lineTo x="21520" y="0"/>
                    <wp:lineTo x="0" y="0"/>
                  </wp:wrapPolygon>
                </wp:wrapTight>
                <wp:docPr id="4"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64350" cy="7573010"/>
                        </a:xfrm>
                        <a:prstGeom prst="rect">
                          <a:avLst/>
                        </a:prstGeom>
                        <a:solidFill>
                          <a:srgbClr val="E6E6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DEEDD" w14:textId="77777777" w:rsidR="00EA6E38" w:rsidRPr="00E1370A" w:rsidRDefault="00EA6E38" w:rsidP="00265ADC">
                            <w:pPr>
                              <w:pStyle w:val="ListParagraph"/>
                              <w:tabs>
                                <w:tab w:val="left" w:pos="5040"/>
                                <w:tab w:val="left" w:pos="10348"/>
                              </w:tabs>
                              <w:ind w:left="2552" w:right="258"/>
                              <w:contextualSpacing w:val="0"/>
                              <w:rPr>
                                <w:rFonts w:cs="Calibri"/>
                                <w:b/>
                                <w:color w:val="6691AB"/>
                                <w:sz w:val="10"/>
                                <w:szCs w:val="20"/>
                                <w:lang w:val="el-GR"/>
                              </w:rPr>
                            </w:pPr>
                          </w:p>
                          <w:p w14:paraId="01174C37" w14:textId="77777777" w:rsidR="00EA6E38" w:rsidRPr="00E1370A" w:rsidRDefault="00EA6E38" w:rsidP="00265ADC">
                            <w:pPr>
                              <w:pStyle w:val="ListParagraph"/>
                              <w:tabs>
                                <w:tab w:val="left" w:pos="5040"/>
                                <w:tab w:val="left" w:pos="10348"/>
                              </w:tabs>
                              <w:spacing w:after="120"/>
                              <w:ind w:left="2552" w:right="258"/>
                              <w:contextualSpacing w:val="0"/>
                              <w:rPr>
                                <w:rFonts w:cs="Calibri"/>
                                <w:b/>
                                <w:color w:val="6691AB"/>
                                <w:sz w:val="8"/>
                                <w:szCs w:val="20"/>
                                <w:lang w:val="el-GR"/>
                              </w:rPr>
                            </w:pPr>
                          </w:p>
                          <w:p w14:paraId="26CDB542" w14:textId="77777777" w:rsidR="00EA6E38" w:rsidRDefault="00EA6E38" w:rsidP="00265ADC">
                            <w:pPr>
                              <w:pStyle w:val="ListParagraph"/>
                              <w:tabs>
                                <w:tab w:val="left" w:pos="5040"/>
                                <w:tab w:val="left" w:pos="10348"/>
                              </w:tabs>
                              <w:spacing w:line="276" w:lineRule="auto"/>
                              <w:ind w:left="1985" w:right="258"/>
                              <w:contextualSpacing w:val="0"/>
                              <w:rPr>
                                <w:rFonts w:cs="Calibri"/>
                                <w:b/>
                                <w:color w:val="6691AB"/>
                                <w:szCs w:val="20"/>
                                <w:lang w:val="el-GR"/>
                              </w:rPr>
                            </w:pPr>
                          </w:p>
                          <w:p w14:paraId="51E7B95B" w14:textId="77777777" w:rsidR="00EA6E38" w:rsidRDefault="00EA6E38" w:rsidP="00265ADC">
                            <w:pPr>
                              <w:pStyle w:val="ListParagraph"/>
                              <w:tabs>
                                <w:tab w:val="left" w:pos="5040"/>
                                <w:tab w:val="left" w:pos="10348"/>
                              </w:tabs>
                              <w:spacing w:line="276" w:lineRule="auto"/>
                              <w:ind w:left="1985" w:right="258"/>
                              <w:contextualSpacing w:val="0"/>
                              <w:rPr>
                                <w:rFonts w:cs="Calibri"/>
                                <w:b/>
                                <w:color w:val="6691AB"/>
                                <w:szCs w:val="20"/>
                                <w:lang w:val="el-GR"/>
                              </w:rPr>
                            </w:pPr>
                          </w:p>
                          <w:p w14:paraId="75D37E9E" w14:textId="71281701" w:rsidR="00EA6E38" w:rsidRDefault="00EA6E38" w:rsidP="00265ADC">
                            <w:pPr>
                              <w:pStyle w:val="ListParagraph"/>
                              <w:tabs>
                                <w:tab w:val="left" w:pos="5040"/>
                                <w:tab w:val="left" w:pos="10348"/>
                              </w:tabs>
                              <w:spacing w:line="276" w:lineRule="auto"/>
                              <w:ind w:left="1985" w:right="258"/>
                              <w:contextualSpacing w:val="0"/>
                              <w:rPr>
                                <w:rFonts w:cs="Calibri"/>
                                <w:b/>
                                <w:color w:val="6691AB"/>
                                <w:szCs w:val="20"/>
                                <w:lang w:val="el-GR"/>
                              </w:rPr>
                            </w:pPr>
                            <w:r>
                              <w:rPr>
                                <w:rFonts w:cs="Calibri"/>
                                <w:b/>
                                <w:color w:val="6691AB"/>
                                <w:szCs w:val="20"/>
                                <w:lang w:val="el-GR"/>
                              </w:rPr>
                              <w:t>Κατά</w:t>
                            </w:r>
                            <w:r w:rsidRPr="00E1370A">
                              <w:rPr>
                                <w:rFonts w:cs="Calibri"/>
                                <w:b/>
                                <w:color w:val="6691AB"/>
                                <w:szCs w:val="20"/>
                                <w:lang w:val="el-GR"/>
                              </w:rPr>
                              <w:t xml:space="preserve"> </w:t>
                            </w:r>
                            <w:r>
                              <w:rPr>
                                <w:rFonts w:cs="Calibri"/>
                                <w:b/>
                                <w:color w:val="6691AB"/>
                                <w:szCs w:val="20"/>
                                <w:lang w:val="el-GR"/>
                              </w:rPr>
                              <w:t>τους</w:t>
                            </w:r>
                            <w:r w:rsidRPr="00E1370A">
                              <w:rPr>
                                <w:rFonts w:cs="Calibri"/>
                                <w:b/>
                                <w:color w:val="6691AB"/>
                                <w:szCs w:val="20"/>
                                <w:lang w:val="el-GR"/>
                              </w:rPr>
                              <w:t xml:space="preserve"> </w:t>
                            </w:r>
                            <w:r>
                              <w:rPr>
                                <w:rFonts w:cs="Calibri"/>
                                <w:b/>
                                <w:color w:val="6691AB"/>
                                <w:szCs w:val="20"/>
                                <w:lang w:val="el-GR"/>
                              </w:rPr>
                              <w:t>τελευταίους</w:t>
                            </w:r>
                            <w:r w:rsidRPr="00E1370A">
                              <w:rPr>
                                <w:rFonts w:cs="Calibri"/>
                                <w:b/>
                                <w:color w:val="6691AB"/>
                                <w:szCs w:val="20"/>
                                <w:lang w:val="el-GR"/>
                              </w:rPr>
                              <w:t xml:space="preserve"> 6 </w:t>
                            </w:r>
                            <w:r>
                              <w:rPr>
                                <w:rFonts w:cs="Calibri"/>
                                <w:b/>
                                <w:color w:val="6691AB"/>
                                <w:szCs w:val="20"/>
                                <w:lang w:val="el-GR"/>
                              </w:rPr>
                              <w:t>μήνες</w:t>
                            </w:r>
                            <w:r w:rsidRPr="00E1370A">
                              <w:rPr>
                                <w:rFonts w:cs="Calibri"/>
                                <w:b/>
                                <w:color w:val="6691AB"/>
                                <w:szCs w:val="20"/>
                                <w:lang w:val="el-GR"/>
                              </w:rPr>
                              <w:t xml:space="preserve">, </w:t>
                            </w:r>
                            <w:r>
                              <w:rPr>
                                <w:rFonts w:cs="Calibri"/>
                                <w:b/>
                                <w:color w:val="6691AB"/>
                                <w:szCs w:val="20"/>
                                <w:lang w:val="el-GR"/>
                              </w:rPr>
                              <w:t xml:space="preserve">περίπου </w:t>
                            </w:r>
                            <w:r w:rsidRPr="00E1370A">
                              <w:rPr>
                                <w:rFonts w:cs="Calibri"/>
                                <w:b/>
                                <w:color w:val="6691AB"/>
                                <w:szCs w:val="20"/>
                                <w:lang w:val="el-GR"/>
                              </w:rPr>
                              <w:t>80%</w:t>
                            </w:r>
                            <w:r w:rsidRPr="00263465">
                              <w:rPr>
                                <w:rFonts w:cs="Calibri"/>
                                <w:b/>
                                <w:color w:val="6691AB"/>
                                <w:szCs w:val="20"/>
                                <w:lang w:val="el-GR"/>
                              </w:rPr>
                              <w:t xml:space="preserve"> </w:t>
                            </w:r>
                            <w:r>
                              <w:rPr>
                                <w:rFonts w:cs="Calibri"/>
                                <w:b/>
                                <w:color w:val="6691AB"/>
                                <w:szCs w:val="20"/>
                                <w:lang w:val="el-GR"/>
                              </w:rPr>
                              <w:t xml:space="preserve">του σχεδίου </w:t>
                            </w:r>
                            <w:r w:rsidRPr="00E1370A">
                              <w:rPr>
                                <w:rFonts w:cs="Calibri"/>
                                <w:b/>
                                <w:color w:val="6691AB"/>
                                <w:szCs w:val="20"/>
                              </w:rPr>
                              <w:t>Sunrise</w:t>
                            </w:r>
                            <w:r w:rsidRPr="00E1370A">
                              <w:rPr>
                                <w:rFonts w:cs="Calibri"/>
                                <w:b/>
                                <w:color w:val="6691AB"/>
                                <w:szCs w:val="20"/>
                                <w:lang w:val="el-GR"/>
                              </w:rPr>
                              <w:t xml:space="preserve"> </w:t>
                            </w:r>
                            <w:r>
                              <w:rPr>
                                <w:rFonts w:cs="Calibri"/>
                                <w:b/>
                                <w:color w:val="6691AB"/>
                                <w:szCs w:val="20"/>
                                <w:lang w:val="el-GR"/>
                              </w:rPr>
                              <w:t>έχει ήδη υλοποιηθεί</w:t>
                            </w:r>
                          </w:p>
                          <w:p w14:paraId="2A077521" w14:textId="77777777" w:rsidR="00EA6E38" w:rsidRDefault="00EA6E38" w:rsidP="00265ADC">
                            <w:pPr>
                              <w:pStyle w:val="ListParagraph"/>
                              <w:tabs>
                                <w:tab w:val="left" w:pos="5040"/>
                                <w:tab w:val="left" w:pos="10348"/>
                              </w:tabs>
                              <w:spacing w:line="276" w:lineRule="auto"/>
                              <w:ind w:left="1985" w:right="258"/>
                              <w:contextualSpacing w:val="0"/>
                              <w:rPr>
                                <w:rFonts w:cs="Calibri"/>
                                <w:b/>
                                <w:color w:val="6691AB"/>
                                <w:szCs w:val="20"/>
                                <w:lang w:val="el-GR"/>
                              </w:rPr>
                            </w:pPr>
                          </w:p>
                          <w:p w14:paraId="4DAD6CC8" w14:textId="77777777" w:rsidR="00EA6E38" w:rsidRPr="002E0B02" w:rsidRDefault="00EA6E38" w:rsidP="00265ADC">
                            <w:pPr>
                              <w:pStyle w:val="ListParagraph"/>
                              <w:tabs>
                                <w:tab w:val="left" w:pos="5040"/>
                                <w:tab w:val="left" w:pos="10348"/>
                              </w:tabs>
                              <w:spacing w:line="276" w:lineRule="auto"/>
                              <w:ind w:left="1985" w:right="258"/>
                              <w:contextualSpacing w:val="0"/>
                              <w:rPr>
                                <w:rFonts w:cs="Calibri"/>
                                <w:b/>
                                <w:color w:val="6691AB"/>
                                <w:sz w:val="6"/>
                                <w:szCs w:val="20"/>
                                <w:lang w:val="el-GR"/>
                              </w:rPr>
                            </w:pPr>
                          </w:p>
                          <w:p w14:paraId="113323EE" w14:textId="77777777" w:rsidR="00EA6E38" w:rsidRPr="00E1370A" w:rsidRDefault="00EA6E38" w:rsidP="00347470">
                            <w:pPr>
                              <w:pStyle w:val="ListParagraph"/>
                              <w:numPr>
                                <w:ilvl w:val="0"/>
                                <w:numId w:val="38"/>
                              </w:numPr>
                              <w:tabs>
                                <w:tab w:val="left" w:pos="10348"/>
                              </w:tabs>
                              <w:spacing w:after="120" w:line="276" w:lineRule="auto"/>
                              <w:ind w:left="2268" w:right="255" w:hanging="357"/>
                              <w:contextualSpacing w:val="0"/>
                              <w:jc w:val="both"/>
                              <w:rPr>
                                <w:rFonts w:cs="Calibri"/>
                                <w:sz w:val="20"/>
                                <w:szCs w:val="20"/>
                                <w:lang w:val="el-GR"/>
                              </w:rPr>
                            </w:pPr>
                            <w:r>
                              <w:rPr>
                                <w:rFonts w:cs="Calibri"/>
                                <w:sz w:val="20"/>
                                <w:szCs w:val="20"/>
                                <w:lang w:val="el-GR"/>
                              </w:rPr>
                              <w:t>Α</w:t>
                            </w:r>
                            <w:r w:rsidRPr="00E1370A">
                              <w:rPr>
                                <w:rFonts w:cs="Calibri"/>
                                <w:sz w:val="20"/>
                                <w:szCs w:val="20"/>
                                <w:lang w:val="el-GR"/>
                              </w:rPr>
                              <w:t>ύξηση μετοχικού κεφαλαίου ύψους €1,4 δισ. τον Απρίλιο 2021</w:t>
                            </w:r>
                          </w:p>
                          <w:p w14:paraId="71F60AD2" w14:textId="77777777" w:rsidR="00EA6E38" w:rsidRPr="009B7F70" w:rsidRDefault="00EA6E38" w:rsidP="00347470">
                            <w:pPr>
                              <w:pStyle w:val="ListParagraph"/>
                              <w:numPr>
                                <w:ilvl w:val="0"/>
                                <w:numId w:val="38"/>
                              </w:numPr>
                              <w:tabs>
                                <w:tab w:val="left" w:pos="10348"/>
                              </w:tabs>
                              <w:spacing w:after="120" w:line="276" w:lineRule="auto"/>
                              <w:ind w:left="2268" w:right="255" w:hanging="357"/>
                              <w:contextualSpacing w:val="0"/>
                              <w:jc w:val="both"/>
                              <w:rPr>
                                <w:rFonts w:cs="Calibri"/>
                                <w:sz w:val="20"/>
                                <w:szCs w:val="20"/>
                                <w:lang w:val="el-GR"/>
                              </w:rPr>
                            </w:pPr>
                            <w:r w:rsidRPr="00B42689">
                              <w:rPr>
                                <w:rFonts w:cs="Calibri"/>
                                <w:sz w:val="20"/>
                                <w:szCs w:val="20"/>
                                <w:lang w:val="el-GR"/>
                              </w:rPr>
                              <w:t>Έκδοση</w:t>
                            </w:r>
                            <w:r w:rsidRPr="009B7F70">
                              <w:rPr>
                                <w:rFonts w:cs="Calibri"/>
                                <w:sz w:val="20"/>
                                <w:szCs w:val="20"/>
                                <w:lang w:val="el-GR"/>
                              </w:rPr>
                              <w:t xml:space="preserve"> </w:t>
                            </w:r>
                            <w:r w:rsidRPr="00B42689">
                              <w:rPr>
                                <w:rFonts w:cs="Calibri"/>
                                <w:sz w:val="20"/>
                                <w:szCs w:val="20"/>
                                <w:lang w:val="el-GR"/>
                              </w:rPr>
                              <w:t>ομολόγου</w:t>
                            </w:r>
                            <w:r w:rsidRPr="009B7F70">
                              <w:rPr>
                                <w:rFonts w:cs="Calibri"/>
                                <w:sz w:val="20"/>
                                <w:szCs w:val="20"/>
                                <w:lang w:val="el-GR"/>
                              </w:rPr>
                              <w:t xml:space="preserve"> </w:t>
                            </w:r>
                            <w:r w:rsidRPr="00E458C5">
                              <w:rPr>
                                <w:rFonts w:cs="Calibri"/>
                                <w:sz w:val="20"/>
                                <w:szCs w:val="20"/>
                              </w:rPr>
                              <w:t>Additional</w:t>
                            </w:r>
                            <w:r w:rsidRPr="009B7F70">
                              <w:rPr>
                                <w:rFonts w:cs="Calibri"/>
                                <w:sz w:val="20"/>
                                <w:szCs w:val="20"/>
                                <w:lang w:val="el-GR"/>
                              </w:rPr>
                              <w:t xml:space="preserve"> </w:t>
                            </w:r>
                            <w:r w:rsidRPr="00E458C5">
                              <w:rPr>
                                <w:rFonts w:cs="Calibri"/>
                                <w:sz w:val="20"/>
                                <w:szCs w:val="20"/>
                              </w:rPr>
                              <w:t>Tier</w:t>
                            </w:r>
                            <w:r w:rsidRPr="009B7F70">
                              <w:rPr>
                                <w:rFonts w:cs="Calibri"/>
                                <w:sz w:val="20"/>
                                <w:szCs w:val="20"/>
                                <w:lang w:val="el-GR"/>
                              </w:rPr>
                              <w:t xml:space="preserve"> 1 </w:t>
                            </w:r>
                            <w:r w:rsidRPr="00B42689">
                              <w:rPr>
                                <w:rFonts w:cs="Calibri"/>
                                <w:sz w:val="20"/>
                                <w:szCs w:val="20"/>
                                <w:lang w:val="el-GR"/>
                              </w:rPr>
                              <w:t>ύψους</w:t>
                            </w:r>
                            <w:r w:rsidRPr="009B7F70">
                              <w:rPr>
                                <w:rFonts w:cs="Calibri"/>
                                <w:sz w:val="20"/>
                                <w:szCs w:val="20"/>
                                <w:lang w:val="el-GR"/>
                              </w:rPr>
                              <w:t xml:space="preserve"> €0,6 </w:t>
                            </w:r>
                            <w:r>
                              <w:rPr>
                                <w:rFonts w:cs="Calibri"/>
                                <w:sz w:val="20"/>
                                <w:szCs w:val="20"/>
                                <w:lang w:val="el-GR"/>
                              </w:rPr>
                              <w:t>δισ</w:t>
                            </w:r>
                            <w:r w:rsidRPr="009B7F70">
                              <w:rPr>
                                <w:rFonts w:cs="Calibri"/>
                                <w:sz w:val="20"/>
                                <w:szCs w:val="20"/>
                                <w:lang w:val="el-GR"/>
                              </w:rPr>
                              <w:t xml:space="preserve">. </w:t>
                            </w:r>
                            <w:r w:rsidRPr="00B42689">
                              <w:rPr>
                                <w:rFonts w:cs="Calibri"/>
                                <w:sz w:val="20"/>
                                <w:szCs w:val="20"/>
                                <w:lang w:val="el-GR"/>
                              </w:rPr>
                              <w:t>τον</w:t>
                            </w:r>
                            <w:r w:rsidRPr="009B7F70">
                              <w:rPr>
                                <w:rFonts w:cs="Calibri"/>
                                <w:sz w:val="20"/>
                                <w:szCs w:val="20"/>
                                <w:lang w:val="el-GR"/>
                              </w:rPr>
                              <w:t xml:space="preserve"> </w:t>
                            </w:r>
                            <w:r w:rsidRPr="00B42689">
                              <w:rPr>
                                <w:rFonts w:cs="Calibri"/>
                                <w:sz w:val="20"/>
                                <w:szCs w:val="20"/>
                                <w:lang w:val="el-GR"/>
                              </w:rPr>
                              <w:t>Ιούνιο</w:t>
                            </w:r>
                            <w:r w:rsidRPr="009B7F70">
                              <w:rPr>
                                <w:rFonts w:cs="Calibri"/>
                                <w:sz w:val="20"/>
                                <w:szCs w:val="20"/>
                                <w:lang w:val="el-GR"/>
                              </w:rPr>
                              <w:t xml:space="preserve"> 2021</w:t>
                            </w:r>
                          </w:p>
                          <w:p w14:paraId="0709FE52" w14:textId="77777777" w:rsidR="00EA6E38" w:rsidRPr="00333C23" w:rsidRDefault="00EA6E38" w:rsidP="00347470">
                            <w:pPr>
                              <w:pStyle w:val="ListParagraph"/>
                              <w:numPr>
                                <w:ilvl w:val="0"/>
                                <w:numId w:val="38"/>
                              </w:numPr>
                              <w:tabs>
                                <w:tab w:val="left" w:pos="10348"/>
                              </w:tabs>
                              <w:spacing w:after="120" w:line="276" w:lineRule="auto"/>
                              <w:ind w:left="2268" w:right="255" w:hanging="357"/>
                              <w:contextualSpacing w:val="0"/>
                              <w:jc w:val="both"/>
                              <w:rPr>
                                <w:rFonts w:cs="Calibri"/>
                                <w:sz w:val="20"/>
                                <w:szCs w:val="20"/>
                                <w:lang w:val="el-GR"/>
                              </w:rPr>
                            </w:pPr>
                            <w:r>
                              <w:rPr>
                                <w:rFonts w:cs="Calibri"/>
                                <w:sz w:val="20"/>
                                <w:szCs w:val="20"/>
                                <w:lang w:val="el-GR"/>
                              </w:rPr>
                              <w:t>Δ</w:t>
                            </w:r>
                            <w:r w:rsidRPr="00084CF0">
                              <w:rPr>
                                <w:rFonts w:cs="Calibri"/>
                                <w:sz w:val="20"/>
                                <w:szCs w:val="20"/>
                                <w:lang w:val="el-GR"/>
                              </w:rPr>
                              <w:t xml:space="preserve">ράσεις κεφαλαιακής ενίσχυσης ύψους €0,8 </w:t>
                            </w:r>
                            <w:r>
                              <w:rPr>
                                <w:rFonts w:cs="Calibri"/>
                                <w:sz w:val="20"/>
                                <w:szCs w:val="20"/>
                                <w:lang w:val="el-GR"/>
                              </w:rPr>
                              <w:t>δισ</w:t>
                            </w:r>
                            <w:r w:rsidRPr="00084CF0">
                              <w:rPr>
                                <w:rFonts w:cs="Calibri"/>
                                <w:sz w:val="20"/>
                                <w:szCs w:val="20"/>
                                <w:lang w:val="el-GR"/>
                              </w:rPr>
                              <w:t>.: (</w:t>
                            </w:r>
                            <w:r>
                              <w:rPr>
                                <w:rFonts w:cs="Calibri"/>
                                <w:sz w:val="20"/>
                                <w:szCs w:val="20"/>
                                <w:lang w:val="el-GR"/>
                              </w:rPr>
                              <w:t>α</w:t>
                            </w:r>
                            <w:r w:rsidRPr="00084CF0">
                              <w:rPr>
                                <w:rFonts w:cs="Calibri"/>
                                <w:sz w:val="20"/>
                                <w:szCs w:val="20"/>
                                <w:lang w:val="el-GR"/>
                              </w:rPr>
                              <w:t xml:space="preserve">) €0,4 </w:t>
                            </w:r>
                            <w:r>
                              <w:rPr>
                                <w:rFonts w:cs="Calibri"/>
                                <w:sz w:val="20"/>
                                <w:szCs w:val="20"/>
                                <w:lang w:val="el-GR"/>
                              </w:rPr>
                              <w:t>δισ</w:t>
                            </w:r>
                            <w:r w:rsidRPr="00084CF0">
                              <w:rPr>
                                <w:rFonts w:cs="Calibri"/>
                                <w:sz w:val="20"/>
                                <w:szCs w:val="20"/>
                                <w:lang w:val="el-GR"/>
                              </w:rPr>
                              <w:t>.</w:t>
                            </w:r>
                            <w:r w:rsidRPr="00084CF0">
                              <w:rPr>
                                <w:rFonts w:cs="Calibri"/>
                                <w:bCs/>
                                <w:sz w:val="20"/>
                                <w:szCs w:val="20"/>
                                <w:lang w:val="el-GR"/>
                              </w:rPr>
                              <w:t xml:space="preserve"> </w:t>
                            </w:r>
                            <w:r>
                              <w:rPr>
                                <w:rFonts w:cs="Calibri"/>
                                <w:bCs/>
                                <w:sz w:val="20"/>
                                <w:szCs w:val="20"/>
                                <w:lang w:val="el-GR"/>
                              </w:rPr>
                              <w:t xml:space="preserve">κέρδη από χαρτοφυλάκιο κρατικών ομολόγων, </w:t>
                            </w:r>
                            <w:r w:rsidRPr="00084CF0">
                              <w:rPr>
                                <w:rFonts w:cs="Calibri"/>
                                <w:sz w:val="20"/>
                                <w:szCs w:val="20"/>
                                <w:lang w:val="el-GR"/>
                              </w:rPr>
                              <w:t xml:space="preserve">(β) €0,1 </w:t>
                            </w:r>
                            <w:r>
                              <w:rPr>
                                <w:rFonts w:cs="Calibri"/>
                                <w:sz w:val="20"/>
                                <w:szCs w:val="20"/>
                                <w:lang w:val="el-GR"/>
                              </w:rPr>
                              <w:t>δισ</w:t>
                            </w:r>
                            <w:r w:rsidRPr="00084CF0">
                              <w:rPr>
                                <w:rFonts w:cs="Calibri"/>
                                <w:sz w:val="20"/>
                                <w:szCs w:val="20"/>
                                <w:lang w:val="el-GR"/>
                              </w:rPr>
                              <w:t xml:space="preserve">. </w:t>
                            </w:r>
                            <w:r>
                              <w:rPr>
                                <w:rFonts w:cs="Calibri"/>
                                <w:sz w:val="20"/>
                                <w:szCs w:val="20"/>
                                <w:lang w:val="el-GR"/>
                              </w:rPr>
                              <w:t>από</w:t>
                            </w:r>
                            <w:r w:rsidRPr="00084CF0">
                              <w:rPr>
                                <w:rFonts w:cs="Calibri"/>
                                <w:sz w:val="20"/>
                                <w:szCs w:val="20"/>
                                <w:lang w:val="el-GR"/>
                              </w:rPr>
                              <w:t xml:space="preserve"> </w:t>
                            </w:r>
                            <w:r>
                              <w:rPr>
                                <w:rFonts w:cs="Calibri"/>
                                <w:sz w:val="20"/>
                                <w:szCs w:val="20"/>
                                <w:lang w:val="el-GR"/>
                              </w:rPr>
                              <w:t>την</w:t>
                            </w:r>
                            <w:r w:rsidRPr="00084CF0">
                              <w:rPr>
                                <w:rFonts w:cs="Calibri"/>
                                <w:sz w:val="20"/>
                                <w:szCs w:val="20"/>
                                <w:lang w:val="el-GR"/>
                              </w:rPr>
                              <w:t xml:space="preserve"> </w:t>
                            </w:r>
                            <w:r>
                              <w:rPr>
                                <w:rFonts w:cs="Calibri"/>
                                <w:sz w:val="20"/>
                                <w:szCs w:val="20"/>
                                <w:lang w:val="el-GR"/>
                              </w:rPr>
                              <w:t>πρώτη</w:t>
                            </w:r>
                            <w:r w:rsidRPr="00084CF0">
                              <w:rPr>
                                <w:rFonts w:cs="Calibri"/>
                                <w:sz w:val="20"/>
                                <w:szCs w:val="20"/>
                                <w:lang w:val="el-GR"/>
                              </w:rPr>
                              <w:t xml:space="preserve"> </w:t>
                            </w:r>
                            <w:r>
                              <w:rPr>
                                <w:rFonts w:cs="Calibri"/>
                                <w:sz w:val="20"/>
                                <w:szCs w:val="20"/>
                                <w:lang w:val="el-GR"/>
                              </w:rPr>
                              <w:t>συνθετική</w:t>
                            </w:r>
                            <w:r w:rsidRPr="00084CF0">
                              <w:rPr>
                                <w:rFonts w:cs="Calibri"/>
                                <w:sz w:val="20"/>
                                <w:szCs w:val="20"/>
                                <w:lang w:val="el-GR"/>
                              </w:rPr>
                              <w:t xml:space="preserve"> </w:t>
                            </w:r>
                            <w:r>
                              <w:rPr>
                                <w:rFonts w:cs="Calibri"/>
                                <w:sz w:val="20"/>
                                <w:szCs w:val="20"/>
                                <w:lang w:val="el-GR"/>
                              </w:rPr>
                              <w:t>τιτλοποίηση</w:t>
                            </w:r>
                            <w:r w:rsidRPr="00084CF0">
                              <w:rPr>
                                <w:rFonts w:cs="Calibri"/>
                                <w:sz w:val="20"/>
                                <w:szCs w:val="20"/>
                                <w:lang w:val="el-GR"/>
                              </w:rPr>
                              <w:t xml:space="preserve"> </w:t>
                            </w:r>
                            <w:r>
                              <w:rPr>
                                <w:rFonts w:cs="Calibri"/>
                                <w:sz w:val="20"/>
                                <w:szCs w:val="20"/>
                                <w:lang w:val="el-GR"/>
                              </w:rPr>
                              <w:t>που υλοποιήθηκε το</w:t>
                            </w:r>
                            <w:r w:rsidRPr="00084CF0">
                              <w:rPr>
                                <w:rFonts w:cs="Calibri"/>
                                <w:sz w:val="20"/>
                                <w:szCs w:val="20"/>
                                <w:lang w:val="el-GR"/>
                              </w:rPr>
                              <w:t xml:space="preserve"> </w:t>
                            </w:r>
                            <w:r>
                              <w:rPr>
                                <w:rFonts w:cs="Calibri"/>
                                <w:sz w:val="20"/>
                                <w:szCs w:val="20"/>
                                <w:lang w:val="el-GR"/>
                              </w:rPr>
                              <w:t>δεύτερο τρίμηνο,</w:t>
                            </w:r>
                            <w:r w:rsidRPr="00084CF0">
                              <w:rPr>
                                <w:rFonts w:cs="Calibri"/>
                                <w:sz w:val="20"/>
                                <w:szCs w:val="20"/>
                                <w:lang w:val="el-GR"/>
                              </w:rPr>
                              <w:t xml:space="preserve"> </w:t>
                            </w:r>
                            <w:r w:rsidRPr="00333C23">
                              <w:rPr>
                                <w:rFonts w:cs="Calibri"/>
                                <w:sz w:val="20"/>
                                <w:szCs w:val="20"/>
                                <w:lang w:val="el-GR"/>
                              </w:rPr>
                              <w:t>(</w:t>
                            </w:r>
                            <w:r>
                              <w:rPr>
                                <w:rFonts w:cs="Calibri"/>
                                <w:sz w:val="20"/>
                                <w:szCs w:val="20"/>
                                <w:lang w:val="el-GR"/>
                              </w:rPr>
                              <w:t>γ</w:t>
                            </w:r>
                            <w:r w:rsidRPr="00333C23">
                              <w:rPr>
                                <w:rFonts w:cs="Calibri"/>
                                <w:sz w:val="20"/>
                                <w:szCs w:val="20"/>
                                <w:lang w:val="el-GR"/>
                              </w:rPr>
                              <w:t xml:space="preserve">) €0,3 </w:t>
                            </w:r>
                            <w:r>
                              <w:rPr>
                                <w:rFonts w:cs="Calibri"/>
                                <w:sz w:val="20"/>
                                <w:szCs w:val="20"/>
                                <w:lang w:val="el-GR"/>
                              </w:rPr>
                              <w:t>δισ</w:t>
                            </w:r>
                            <w:r w:rsidRPr="00333C23">
                              <w:rPr>
                                <w:rFonts w:cs="Calibri"/>
                                <w:sz w:val="20"/>
                                <w:szCs w:val="20"/>
                                <w:lang w:val="el-GR"/>
                              </w:rPr>
                              <w:t xml:space="preserve">. </w:t>
                            </w:r>
                            <w:r>
                              <w:rPr>
                                <w:rFonts w:cs="Calibri"/>
                                <w:sz w:val="20"/>
                                <w:szCs w:val="20"/>
                                <w:lang w:val="el-GR"/>
                              </w:rPr>
                              <w:t xml:space="preserve">από την </w:t>
                            </w:r>
                            <w:r w:rsidRPr="00530F75">
                              <w:rPr>
                                <w:rFonts w:cs="Calibri"/>
                                <w:sz w:val="20"/>
                                <w:szCs w:val="20"/>
                                <w:lang w:val="el-GR"/>
                              </w:rPr>
                              <w:t>απόσχιση και πώληση της πλατφόρμας αποδοχής καρτών</w:t>
                            </w:r>
                            <w:r w:rsidRPr="00333C23">
                              <w:rPr>
                                <w:rFonts w:cs="Calibri"/>
                                <w:sz w:val="20"/>
                                <w:szCs w:val="20"/>
                                <w:lang w:val="el-GR"/>
                              </w:rPr>
                              <w:t xml:space="preserve">, </w:t>
                            </w:r>
                            <w:r>
                              <w:rPr>
                                <w:rFonts w:cs="Calibri"/>
                                <w:sz w:val="20"/>
                                <w:szCs w:val="20"/>
                                <w:lang w:val="el-GR"/>
                              </w:rPr>
                              <w:t xml:space="preserve">η οποία αναμένεται να ολοκληρωθεί το τρίτο τρίμηνο </w:t>
                            </w:r>
                          </w:p>
                          <w:p w14:paraId="256E5626" w14:textId="77777777" w:rsidR="00EA6E38" w:rsidRPr="005F61A0" w:rsidRDefault="00EA6E38" w:rsidP="00347470">
                            <w:pPr>
                              <w:pStyle w:val="ListParagraph"/>
                              <w:numPr>
                                <w:ilvl w:val="0"/>
                                <w:numId w:val="38"/>
                              </w:numPr>
                              <w:tabs>
                                <w:tab w:val="left" w:pos="10348"/>
                              </w:tabs>
                              <w:spacing w:after="120" w:line="276" w:lineRule="auto"/>
                              <w:ind w:left="2268" w:right="255" w:hanging="357"/>
                              <w:contextualSpacing w:val="0"/>
                              <w:jc w:val="both"/>
                              <w:rPr>
                                <w:rFonts w:cs="Calibri"/>
                                <w:sz w:val="20"/>
                                <w:szCs w:val="20"/>
                                <w:lang w:val="el-GR"/>
                              </w:rPr>
                            </w:pPr>
                            <w:r w:rsidRPr="005F61A0">
                              <w:rPr>
                                <w:rFonts w:cs="Calibri"/>
                                <w:sz w:val="20"/>
                                <w:szCs w:val="20"/>
                                <w:lang w:val="el-GR"/>
                              </w:rPr>
                              <w:t xml:space="preserve">Συναλλαγές </w:t>
                            </w:r>
                            <w:r w:rsidRPr="005F61A0">
                              <w:rPr>
                                <w:rFonts w:cs="Calibri"/>
                                <w:sz w:val="20"/>
                                <w:szCs w:val="20"/>
                              </w:rPr>
                              <w:t>NPE</w:t>
                            </w:r>
                            <w:r w:rsidRPr="005F61A0">
                              <w:rPr>
                                <w:rFonts w:cs="Calibri"/>
                                <w:sz w:val="20"/>
                                <w:szCs w:val="20"/>
                                <w:lang w:val="el-GR"/>
                              </w:rPr>
                              <w:t xml:space="preserve"> </w:t>
                            </w:r>
                            <w:r w:rsidRPr="005F61A0">
                              <w:rPr>
                                <w:rFonts w:cs="Calibri"/>
                                <w:sz w:val="20"/>
                                <w:szCs w:val="20"/>
                              </w:rPr>
                              <w:t>Phoenix</w:t>
                            </w:r>
                            <w:r w:rsidRPr="005F61A0">
                              <w:rPr>
                                <w:rFonts w:cs="Calibri"/>
                                <w:sz w:val="20"/>
                                <w:szCs w:val="20"/>
                                <w:lang w:val="el-GR"/>
                              </w:rPr>
                              <w:t>-</w:t>
                            </w:r>
                            <w:r w:rsidRPr="005F61A0">
                              <w:rPr>
                                <w:rFonts w:cs="Calibri"/>
                                <w:sz w:val="20"/>
                                <w:szCs w:val="20"/>
                              </w:rPr>
                              <w:t>Vega</w:t>
                            </w:r>
                            <w:r w:rsidRPr="005F61A0">
                              <w:rPr>
                                <w:rFonts w:cs="Calibri"/>
                                <w:sz w:val="20"/>
                                <w:szCs w:val="20"/>
                                <w:lang w:val="el-GR"/>
                              </w:rPr>
                              <w:t xml:space="preserve"> </w:t>
                            </w:r>
                            <w:r>
                              <w:rPr>
                                <w:rFonts w:cs="Calibri"/>
                                <w:sz w:val="20"/>
                                <w:szCs w:val="20"/>
                                <w:lang w:val="el-GR"/>
                              </w:rPr>
                              <w:t xml:space="preserve">ύψους €7 δισ. ολοκληρώθηκαν </w:t>
                            </w:r>
                            <w:r w:rsidRPr="005F61A0">
                              <w:rPr>
                                <w:rFonts w:cs="Calibri"/>
                                <w:sz w:val="20"/>
                                <w:szCs w:val="20"/>
                                <w:lang w:val="el-GR"/>
                              </w:rPr>
                              <w:t>μέσω του προγράμματος</w:t>
                            </w:r>
                            <w:r>
                              <w:rPr>
                                <w:rFonts w:cs="Calibri"/>
                                <w:sz w:val="20"/>
                                <w:szCs w:val="20"/>
                                <w:lang w:val="el-GR"/>
                              </w:rPr>
                              <w:t xml:space="preserve"> </w:t>
                            </w:r>
                            <w:r>
                              <w:rPr>
                                <w:rFonts w:cstheme="minorHAnsi"/>
                                <w:sz w:val="20"/>
                                <w:szCs w:val="20"/>
                                <w:lang w:val="el-GR"/>
                              </w:rPr>
                              <w:t>«</w:t>
                            </w:r>
                            <w:r>
                              <w:rPr>
                                <w:rFonts w:cs="Calibri"/>
                                <w:sz w:val="20"/>
                                <w:szCs w:val="20"/>
                                <w:lang w:val="el-GR"/>
                              </w:rPr>
                              <w:t>Ηρακλής</w:t>
                            </w:r>
                            <w:r>
                              <w:rPr>
                                <w:rFonts w:cstheme="minorHAnsi"/>
                                <w:sz w:val="20"/>
                                <w:szCs w:val="20"/>
                                <w:lang w:val="el-GR"/>
                              </w:rPr>
                              <w:t>»</w:t>
                            </w:r>
                            <w:r>
                              <w:rPr>
                                <w:rFonts w:cs="Calibri"/>
                                <w:sz w:val="20"/>
                                <w:szCs w:val="20"/>
                                <w:lang w:val="el-GR"/>
                              </w:rPr>
                              <w:t xml:space="preserve"> </w:t>
                            </w:r>
                            <w:r w:rsidRPr="005F61A0">
                              <w:rPr>
                                <w:rFonts w:cs="Calibri"/>
                                <w:sz w:val="20"/>
                                <w:szCs w:val="20"/>
                                <w:lang w:val="el-GR"/>
                              </w:rPr>
                              <w:t>το δεύτερο τρίμηνο</w:t>
                            </w:r>
                            <w:r>
                              <w:rPr>
                                <w:rFonts w:cs="Calibri"/>
                                <w:sz w:val="20"/>
                                <w:szCs w:val="20"/>
                                <w:lang w:val="el-GR"/>
                              </w:rPr>
                              <w:t xml:space="preserve">. Η διανομή σε είδος σε </w:t>
                            </w:r>
                            <w:r w:rsidRPr="005F61A0">
                              <w:rPr>
                                <w:rFonts w:cs="Calibri"/>
                                <w:sz w:val="20"/>
                                <w:szCs w:val="20"/>
                                <w:lang w:val="el-GR"/>
                              </w:rPr>
                              <w:t xml:space="preserve">μετόχους </w:t>
                            </w:r>
                            <w:r>
                              <w:rPr>
                                <w:rFonts w:cs="Calibri"/>
                                <w:sz w:val="20"/>
                                <w:szCs w:val="20"/>
                                <w:lang w:val="el-GR"/>
                              </w:rPr>
                              <w:t xml:space="preserve">της Πειραιώς του </w:t>
                            </w:r>
                            <w:r w:rsidRPr="005F61A0">
                              <w:rPr>
                                <w:rFonts w:cs="Calibri"/>
                                <w:sz w:val="20"/>
                                <w:szCs w:val="20"/>
                                <w:lang w:val="el-GR"/>
                              </w:rPr>
                              <w:t xml:space="preserve">65% των </w:t>
                            </w:r>
                            <w:r>
                              <w:rPr>
                                <w:rFonts w:cs="Calibri"/>
                                <w:sz w:val="20"/>
                                <w:szCs w:val="20"/>
                                <w:lang w:val="el-GR"/>
                              </w:rPr>
                              <w:t>τίτλων</w:t>
                            </w:r>
                            <w:r w:rsidRPr="005F61A0">
                              <w:rPr>
                                <w:rFonts w:cs="Calibri"/>
                                <w:sz w:val="20"/>
                                <w:szCs w:val="20"/>
                                <w:lang w:val="el-GR"/>
                              </w:rPr>
                              <w:t xml:space="preserve"> μεσαίας και χαμηλής προεξοφλητικής προτεραιότητας </w:t>
                            </w:r>
                            <w:r>
                              <w:rPr>
                                <w:rFonts w:cs="Calibri"/>
                                <w:sz w:val="20"/>
                                <w:szCs w:val="20"/>
                                <w:lang w:val="el-GR"/>
                              </w:rPr>
                              <w:t xml:space="preserve">αναμένεται να πραγματοποιηθεί </w:t>
                            </w:r>
                            <w:r w:rsidRPr="005F61A0">
                              <w:rPr>
                                <w:rFonts w:cs="Calibri"/>
                                <w:sz w:val="20"/>
                                <w:szCs w:val="20"/>
                                <w:lang w:val="el-GR"/>
                              </w:rPr>
                              <w:t xml:space="preserve">στα μέσα Αυγούστου  </w:t>
                            </w:r>
                          </w:p>
                          <w:p w14:paraId="14EBB8CA" w14:textId="4CD0FA3E" w:rsidR="00EA6E38" w:rsidRPr="00263465" w:rsidRDefault="00EA6E38" w:rsidP="00347470">
                            <w:pPr>
                              <w:pStyle w:val="ListParagraph"/>
                              <w:numPr>
                                <w:ilvl w:val="0"/>
                                <w:numId w:val="38"/>
                              </w:numPr>
                              <w:tabs>
                                <w:tab w:val="left" w:pos="10348"/>
                              </w:tabs>
                              <w:spacing w:after="120" w:line="276" w:lineRule="auto"/>
                              <w:ind w:left="2268" w:right="255" w:hanging="357"/>
                              <w:contextualSpacing w:val="0"/>
                              <w:jc w:val="both"/>
                              <w:rPr>
                                <w:rFonts w:cs="Calibri"/>
                                <w:sz w:val="20"/>
                                <w:szCs w:val="20"/>
                                <w:lang w:val="el-GR"/>
                              </w:rPr>
                            </w:pPr>
                            <w:r>
                              <w:rPr>
                                <w:rFonts w:cs="Calibri"/>
                                <w:sz w:val="20"/>
                                <w:szCs w:val="20"/>
                                <w:lang w:val="el-GR"/>
                              </w:rPr>
                              <w:t>Η</w:t>
                            </w:r>
                            <w:r w:rsidRPr="007D0DBD">
                              <w:rPr>
                                <w:rFonts w:cs="Calibri"/>
                                <w:sz w:val="20"/>
                                <w:szCs w:val="20"/>
                                <w:lang w:val="el-GR"/>
                              </w:rPr>
                              <w:t xml:space="preserve"> </w:t>
                            </w:r>
                            <w:r>
                              <w:rPr>
                                <w:rFonts w:cs="Calibri"/>
                                <w:sz w:val="20"/>
                                <w:szCs w:val="20"/>
                                <w:lang w:val="el-GR"/>
                              </w:rPr>
                              <w:t>συναλλαγή</w:t>
                            </w:r>
                            <w:r w:rsidRPr="007D0DBD">
                              <w:rPr>
                                <w:rFonts w:cs="Calibri"/>
                                <w:sz w:val="20"/>
                                <w:szCs w:val="20"/>
                                <w:lang w:val="el-GR"/>
                              </w:rPr>
                              <w:t xml:space="preserve"> </w:t>
                            </w:r>
                            <w:r>
                              <w:rPr>
                                <w:rFonts w:cs="Calibri"/>
                                <w:sz w:val="20"/>
                                <w:szCs w:val="20"/>
                              </w:rPr>
                              <w:t>NPE</w:t>
                            </w:r>
                            <w:r w:rsidRPr="007D0DBD">
                              <w:rPr>
                                <w:rFonts w:cs="Calibri"/>
                                <w:sz w:val="20"/>
                                <w:szCs w:val="20"/>
                                <w:lang w:val="el-GR"/>
                              </w:rPr>
                              <w:t xml:space="preserve"> </w:t>
                            </w:r>
                            <w:r>
                              <w:rPr>
                                <w:rFonts w:cs="Calibri"/>
                                <w:sz w:val="20"/>
                                <w:szCs w:val="20"/>
                              </w:rPr>
                              <w:t>Sunrise</w:t>
                            </w:r>
                            <w:r w:rsidRPr="007D0DBD">
                              <w:rPr>
                                <w:rFonts w:cs="Calibri"/>
                                <w:sz w:val="20"/>
                                <w:szCs w:val="20"/>
                                <w:lang w:val="el-GR"/>
                              </w:rPr>
                              <w:t xml:space="preserve"> 1 </w:t>
                            </w:r>
                            <w:r>
                              <w:rPr>
                                <w:rFonts w:cs="Calibri"/>
                                <w:sz w:val="20"/>
                                <w:szCs w:val="20"/>
                                <w:lang w:val="el-GR"/>
                              </w:rPr>
                              <w:t>ύψους</w:t>
                            </w:r>
                            <w:r w:rsidRPr="007D0DBD">
                              <w:rPr>
                                <w:rFonts w:cs="Calibri"/>
                                <w:sz w:val="20"/>
                                <w:szCs w:val="20"/>
                                <w:lang w:val="el-GR"/>
                              </w:rPr>
                              <w:t xml:space="preserve"> €7 </w:t>
                            </w:r>
                            <w:r>
                              <w:rPr>
                                <w:rFonts w:cs="Calibri"/>
                                <w:sz w:val="20"/>
                                <w:szCs w:val="20"/>
                                <w:lang w:val="el-GR"/>
                              </w:rPr>
                              <w:t>δισ</w:t>
                            </w:r>
                            <w:r w:rsidRPr="007D0DBD">
                              <w:rPr>
                                <w:rFonts w:cs="Calibri"/>
                                <w:sz w:val="20"/>
                                <w:szCs w:val="20"/>
                                <w:lang w:val="el-GR"/>
                              </w:rPr>
                              <w:t xml:space="preserve">. </w:t>
                            </w:r>
                            <w:r>
                              <w:rPr>
                                <w:rFonts w:cs="Calibri"/>
                                <w:sz w:val="20"/>
                                <w:szCs w:val="20"/>
                                <w:lang w:val="el-GR"/>
                              </w:rPr>
                              <w:t>μέσω</w:t>
                            </w:r>
                            <w:r w:rsidRPr="007D0DBD">
                              <w:rPr>
                                <w:rFonts w:cs="Calibri"/>
                                <w:sz w:val="20"/>
                                <w:szCs w:val="20"/>
                                <w:lang w:val="el-GR"/>
                              </w:rPr>
                              <w:t xml:space="preserve"> </w:t>
                            </w:r>
                            <w:r>
                              <w:rPr>
                                <w:rFonts w:cs="Calibri"/>
                                <w:sz w:val="20"/>
                                <w:szCs w:val="20"/>
                                <w:lang w:val="el-GR"/>
                              </w:rPr>
                              <w:t>του</w:t>
                            </w:r>
                            <w:r w:rsidRPr="007D0DBD">
                              <w:rPr>
                                <w:rFonts w:cs="Calibri"/>
                                <w:sz w:val="20"/>
                                <w:szCs w:val="20"/>
                                <w:lang w:val="el-GR"/>
                              </w:rPr>
                              <w:t xml:space="preserve"> </w:t>
                            </w:r>
                            <w:r>
                              <w:rPr>
                                <w:rFonts w:cs="Calibri"/>
                                <w:sz w:val="20"/>
                                <w:szCs w:val="20"/>
                                <w:lang w:val="el-GR"/>
                              </w:rPr>
                              <w:t>προγράμματος</w:t>
                            </w:r>
                            <w:r w:rsidRPr="007D0DBD">
                              <w:rPr>
                                <w:rFonts w:cs="Calibri"/>
                                <w:sz w:val="20"/>
                                <w:szCs w:val="20"/>
                                <w:lang w:val="el-GR"/>
                              </w:rPr>
                              <w:t xml:space="preserve"> </w:t>
                            </w:r>
                            <w:r>
                              <w:rPr>
                                <w:rFonts w:cstheme="minorHAnsi"/>
                                <w:sz w:val="20"/>
                                <w:szCs w:val="20"/>
                                <w:lang w:val="el-GR"/>
                              </w:rPr>
                              <w:t>«</w:t>
                            </w:r>
                            <w:r>
                              <w:rPr>
                                <w:rFonts w:cs="Calibri"/>
                                <w:sz w:val="20"/>
                                <w:szCs w:val="20"/>
                                <w:lang w:val="el-GR"/>
                              </w:rPr>
                              <w:t>Ηρακλής</w:t>
                            </w:r>
                            <w:r>
                              <w:rPr>
                                <w:rFonts w:cstheme="minorHAnsi"/>
                                <w:sz w:val="20"/>
                                <w:szCs w:val="20"/>
                                <w:lang w:val="el-GR"/>
                              </w:rPr>
                              <w:t>»</w:t>
                            </w:r>
                            <w:r>
                              <w:rPr>
                                <w:rFonts w:cs="Calibri"/>
                                <w:sz w:val="20"/>
                                <w:szCs w:val="20"/>
                                <w:lang w:val="el-GR"/>
                              </w:rPr>
                              <w:t xml:space="preserve"> υπογράφηκε</w:t>
                            </w:r>
                            <w:r w:rsidRPr="007D0DBD">
                              <w:rPr>
                                <w:rFonts w:cs="Calibri"/>
                                <w:sz w:val="20"/>
                                <w:szCs w:val="20"/>
                                <w:lang w:val="el-GR"/>
                              </w:rPr>
                              <w:t xml:space="preserve"> </w:t>
                            </w:r>
                            <w:r>
                              <w:rPr>
                                <w:rFonts w:cs="Calibri"/>
                                <w:sz w:val="20"/>
                                <w:szCs w:val="20"/>
                                <w:lang w:val="el-GR"/>
                              </w:rPr>
                              <w:t>και</w:t>
                            </w:r>
                            <w:r w:rsidRPr="007D0DBD">
                              <w:rPr>
                                <w:rFonts w:cs="Calibri"/>
                                <w:sz w:val="20"/>
                                <w:szCs w:val="20"/>
                                <w:lang w:val="el-GR"/>
                              </w:rPr>
                              <w:t xml:space="preserve"> </w:t>
                            </w:r>
                            <w:r>
                              <w:rPr>
                                <w:rFonts w:cs="Calibri"/>
                                <w:sz w:val="20"/>
                                <w:szCs w:val="20"/>
                                <w:lang w:val="el-GR"/>
                              </w:rPr>
                              <w:t>ταξινομήθηκε</w:t>
                            </w:r>
                            <w:r w:rsidRPr="007D0DBD">
                              <w:rPr>
                                <w:rFonts w:cs="Calibri"/>
                                <w:sz w:val="20"/>
                                <w:szCs w:val="20"/>
                                <w:lang w:val="el-GR"/>
                              </w:rPr>
                              <w:t xml:space="preserve"> </w:t>
                            </w:r>
                            <w:r>
                              <w:rPr>
                                <w:rFonts w:cs="Calibri"/>
                                <w:sz w:val="20"/>
                                <w:szCs w:val="20"/>
                                <w:lang w:val="el-GR"/>
                              </w:rPr>
                              <w:t>ως διακρατούμενο στοιχείο προς πώληση το δεύτερο τρίμηνο. Η</w:t>
                            </w:r>
                            <w:r w:rsidRPr="00263465">
                              <w:rPr>
                                <w:rFonts w:cs="Calibri"/>
                                <w:sz w:val="20"/>
                                <w:szCs w:val="20"/>
                                <w:lang w:val="el-GR"/>
                              </w:rPr>
                              <w:t xml:space="preserve"> </w:t>
                            </w:r>
                            <w:r>
                              <w:rPr>
                                <w:rFonts w:cs="Calibri"/>
                                <w:sz w:val="20"/>
                                <w:szCs w:val="20"/>
                                <w:lang w:val="el-GR"/>
                              </w:rPr>
                              <w:t>συναλλαγή</w:t>
                            </w:r>
                            <w:r w:rsidRPr="00263465">
                              <w:rPr>
                                <w:rFonts w:cs="Calibri"/>
                                <w:sz w:val="20"/>
                                <w:szCs w:val="20"/>
                                <w:lang w:val="el-GR"/>
                              </w:rPr>
                              <w:t xml:space="preserve"> </w:t>
                            </w:r>
                            <w:r>
                              <w:rPr>
                                <w:rFonts w:cs="Calibri"/>
                                <w:sz w:val="20"/>
                                <w:szCs w:val="20"/>
                                <w:lang w:val="el-GR"/>
                              </w:rPr>
                              <w:t>ολοκληρώνεται σε χρόνο-ρεκόρ</w:t>
                            </w:r>
                            <w:r w:rsidRPr="00263465">
                              <w:rPr>
                                <w:rFonts w:cs="Calibri"/>
                                <w:sz w:val="20"/>
                                <w:szCs w:val="20"/>
                                <w:lang w:val="el-GR"/>
                              </w:rPr>
                              <w:t xml:space="preserve"> </w:t>
                            </w:r>
                          </w:p>
                          <w:p w14:paraId="321CCDB6" w14:textId="7539FCB7" w:rsidR="00EA6E38" w:rsidRPr="00F32623" w:rsidRDefault="00EA6E38" w:rsidP="00347470">
                            <w:pPr>
                              <w:pStyle w:val="ListParagraph"/>
                              <w:numPr>
                                <w:ilvl w:val="0"/>
                                <w:numId w:val="38"/>
                              </w:numPr>
                              <w:tabs>
                                <w:tab w:val="left" w:pos="10348"/>
                              </w:tabs>
                              <w:spacing w:after="120" w:line="276" w:lineRule="auto"/>
                              <w:ind w:left="2268" w:right="255" w:hanging="357"/>
                              <w:contextualSpacing w:val="0"/>
                              <w:jc w:val="both"/>
                              <w:rPr>
                                <w:rFonts w:cs="Calibri"/>
                                <w:sz w:val="20"/>
                                <w:szCs w:val="20"/>
                                <w:lang w:val="el-GR"/>
                              </w:rPr>
                            </w:pPr>
                            <w:r>
                              <w:rPr>
                                <w:rFonts w:cs="Calibri"/>
                                <w:sz w:val="20"/>
                                <w:szCs w:val="20"/>
                                <w:lang w:val="el-GR"/>
                              </w:rPr>
                              <w:t>Η</w:t>
                            </w:r>
                            <w:r w:rsidRPr="00F32623">
                              <w:rPr>
                                <w:rFonts w:cs="Calibri"/>
                                <w:sz w:val="20"/>
                                <w:szCs w:val="20"/>
                                <w:lang w:val="el-GR"/>
                              </w:rPr>
                              <w:t xml:space="preserve"> </w:t>
                            </w:r>
                            <w:r>
                              <w:rPr>
                                <w:rFonts w:cs="Calibri"/>
                                <w:sz w:val="20"/>
                                <w:szCs w:val="20"/>
                                <w:lang w:val="el-GR"/>
                              </w:rPr>
                              <w:t>συναλλαγή</w:t>
                            </w:r>
                            <w:r w:rsidRPr="00F32623">
                              <w:rPr>
                                <w:rFonts w:cs="Calibri"/>
                                <w:sz w:val="20"/>
                                <w:szCs w:val="20"/>
                                <w:lang w:val="el-GR"/>
                              </w:rPr>
                              <w:t xml:space="preserve"> </w:t>
                            </w:r>
                            <w:r>
                              <w:rPr>
                                <w:rFonts w:cs="Calibri"/>
                                <w:sz w:val="20"/>
                                <w:szCs w:val="20"/>
                              </w:rPr>
                              <w:t>NPE</w:t>
                            </w:r>
                            <w:r w:rsidRPr="00347470">
                              <w:rPr>
                                <w:rFonts w:cs="Calibri"/>
                                <w:sz w:val="20"/>
                                <w:szCs w:val="20"/>
                                <w:lang w:val="el-GR"/>
                              </w:rPr>
                              <w:t xml:space="preserve"> </w:t>
                            </w:r>
                            <w:r>
                              <w:rPr>
                                <w:rFonts w:cs="Calibri"/>
                                <w:sz w:val="20"/>
                                <w:szCs w:val="20"/>
                              </w:rPr>
                              <w:t>Sunrise</w:t>
                            </w:r>
                            <w:r w:rsidRPr="00F32623">
                              <w:rPr>
                                <w:rFonts w:cs="Calibri"/>
                                <w:sz w:val="20"/>
                                <w:szCs w:val="20"/>
                                <w:lang w:val="el-GR"/>
                              </w:rPr>
                              <w:t xml:space="preserve"> 2 </w:t>
                            </w:r>
                            <w:r>
                              <w:rPr>
                                <w:rFonts w:cs="Calibri"/>
                                <w:sz w:val="20"/>
                                <w:szCs w:val="20"/>
                                <w:lang w:val="el-GR"/>
                              </w:rPr>
                              <w:t>ύψους</w:t>
                            </w:r>
                            <w:r w:rsidRPr="00F32623">
                              <w:rPr>
                                <w:rFonts w:cs="Calibri"/>
                                <w:sz w:val="20"/>
                                <w:szCs w:val="20"/>
                                <w:lang w:val="el-GR"/>
                              </w:rPr>
                              <w:t xml:space="preserve"> €3 </w:t>
                            </w:r>
                            <w:r>
                              <w:rPr>
                                <w:rFonts w:cs="Calibri"/>
                                <w:sz w:val="20"/>
                                <w:szCs w:val="20"/>
                                <w:lang w:val="el-GR"/>
                              </w:rPr>
                              <w:t>δισ</w:t>
                            </w:r>
                            <w:r w:rsidRPr="00F32623">
                              <w:rPr>
                                <w:rFonts w:cs="Calibri"/>
                                <w:sz w:val="20"/>
                                <w:szCs w:val="20"/>
                                <w:lang w:val="el-GR"/>
                              </w:rPr>
                              <w:t xml:space="preserve">. </w:t>
                            </w:r>
                            <w:r>
                              <w:rPr>
                                <w:rFonts w:cs="Calibri"/>
                                <w:sz w:val="20"/>
                                <w:szCs w:val="20"/>
                                <w:lang w:val="el-GR"/>
                              </w:rPr>
                              <w:t>έλαβε πιστοληπτική διαβάθμιση</w:t>
                            </w:r>
                            <w:r w:rsidRPr="00F32623">
                              <w:rPr>
                                <w:rFonts w:cs="Calibri"/>
                                <w:sz w:val="20"/>
                                <w:szCs w:val="20"/>
                                <w:lang w:val="el-GR"/>
                              </w:rPr>
                              <w:t xml:space="preserve">, </w:t>
                            </w:r>
                            <w:r>
                              <w:rPr>
                                <w:rFonts w:cs="Calibri"/>
                                <w:sz w:val="20"/>
                                <w:szCs w:val="20"/>
                                <w:lang w:val="el-GR"/>
                              </w:rPr>
                              <w:t>ενώ</w:t>
                            </w:r>
                            <w:r w:rsidRPr="00F32623">
                              <w:rPr>
                                <w:rFonts w:cs="Calibri"/>
                                <w:sz w:val="20"/>
                                <w:szCs w:val="20"/>
                                <w:lang w:val="el-GR"/>
                              </w:rPr>
                              <w:t xml:space="preserve"> </w:t>
                            </w:r>
                            <w:r>
                              <w:rPr>
                                <w:rFonts w:cs="Calibri"/>
                                <w:sz w:val="20"/>
                                <w:szCs w:val="20"/>
                                <w:lang w:val="el-GR"/>
                              </w:rPr>
                              <w:t xml:space="preserve">επίκειται η αίτηση για ένταξη στο πρόγραμμα </w:t>
                            </w:r>
                            <w:r>
                              <w:rPr>
                                <w:rFonts w:cstheme="minorHAnsi"/>
                                <w:sz w:val="20"/>
                                <w:szCs w:val="20"/>
                                <w:lang w:val="el-GR"/>
                              </w:rPr>
                              <w:t>«</w:t>
                            </w:r>
                            <w:r>
                              <w:rPr>
                                <w:rFonts w:cs="Calibri"/>
                                <w:sz w:val="20"/>
                                <w:szCs w:val="20"/>
                                <w:lang w:val="el-GR"/>
                              </w:rPr>
                              <w:t>Ηρακλής</w:t>
                            </w:r>
                            <w:r>
                              <w:rPr>
                                <w:rFonts w:cstheme="minorHAnsi"/>
                                <w:sz w:val="20"/>
                                <w:szCs w:val="20"/>
                                <w:lang w:val="el-GR"/>
                              </w:rPr>
                              <w:t>»</w:t>
                            </w:r>
                          </w:p>
                          <w:p w14:paraId="160C9F07" w14:textId="77777777" w:rsidR="00EA6E38" w:rsidRPr="00CB4268" w:rsidRDefault="00EA6E38" w:rsidP="00347470">
                            <w:pPr>
                              <w:pStyle w:val="ListParagraph"/>
                              <w:numPr>
                                <w:ilvl w:val="0"/>
                                <w:numId w:val="38"/>
                              </w:numPr>
                              <w:tabs>
                                <w:tab w:val="left" w:pos="10348"/>
                              </w:tabs>
                              <w:spacing w:after="120" w:line="276" w:lineRule="auto"/>
                              <w:ind w:left="2268" w:right="255" w:hanging="357"/>
                              <w:contextualSpacing w:val="0"/>
                              <w:jc w:val="both"/>
                              <w:rPr>
                                <w:rFonts w:cs="Calibri"/>
                                <w:sz w:val="20"/>
                                <w:szCs w:val="20"/>
                                <w:lang w:val="el-GR"/>
                              </w:rPr>
                            </w:pPr>
                            <w:r w:rsidRPr="00660104">
                              <w:rPr>
                                <w:rFonts w:cs="Calibri"/>
                                <w:sz w:val="20"/>
                                <w:szCs w:val="20"/>
                                <w:lang w:val="el-GR"/>
                              </w:rPr>
                              <w:t xml:space="preserve">€0,4 </w:t>
                            </w:r>
                            <w:r>
                              <w:rPr>
                                <w:rFonts w:cs="Calibri"/>
                                <w:sz w:val="20"/>
                                <w:szCs w:val="20"/>
                                <w:lang w:val="el-GR"/>
                              </w:rPr>
                              <w:t>δισ</w:t>
                            </w:r>
                            <w:r w:rsidRPr="00660104">
                              <w:rPr>
                                <w:rFonts w:cs="Calibri"/>
                                <w:sz w:val="20"/>
                                <w:szCs w:val="20"/>
                                <w:lang w:val="el-GR"/>
                              </w:rPr>
                              <w:t xml:space="preserve">. </w:t>
                            </w:r>
                            <w:r>
                              <w:rPr>
                                <w:rFonts w:cs="Calibri"/>
                                <w:sz w:val="20"/>
                                <w:szCs w:val="20"/>
                                <w:lang w:val="el-GR"/>
                              </w:rPr>
                              <w:t xml:space="preserve">επαναλαμβανόμενο αποτέλεσμα προ φόρων το πρώτο εξάμηνο </w:t>
                            </w:r>
                          </w:p>
                          <w:p w14:paraId="7D3D9632" w14:textId="77777777" w:rsidR="00EA6E38" w:rsidRPr="00660104" w:rsidRDefault="00EA6E38" w:rsidP="00347470">
                            <w:pPr>
                              <w:pStyle w:val="ListParagraph"/>
                              <w:numPr>
                                <w:ilvl w:val="0"/>
                                <w:numId w:val="38"/>
                              </w:numPr>
                              <w:tabs>
                                <w:tab w:val="left" w:pos="10348"/>
                              </w:tabs>
                              <w:spacing w:after="120" w:line="276" w:lineRule="auto"/>
                              <w:ind w:left="2268" w:right="255" w:hanging="357"/>
                              <w:contextualSpacing w:val="0"/>
                              <w:jc w:val="both"/>
                              <w:rPr>
                                <w:rFonts w:cs="Calibri"/>
                                <w:sz w:val="20"/>
                                <w:szCs w:val="20"/>
                                <w:lang w:val="el-GR"/>
                              </w:rPr>
                            </w:pPr>
                            <w:r w:rsidRPr="00660104">
                              <w:rPr>
                                <w:rFonts w:cs="Calibri"/>
                                <w:sz w:val="20"/>
                                <w:szCs w:val="20"/>
                                <w:lang w:val="el-GR"/>
                              </w:rPr>
                              <w:t xml:space="preserve">Καθαρά έσοδα προμηθειών στα €101 εκατ. </w:t>
                            </w:r>
                            <w:r>
                              <w:rPr>
                                <w:rFonts w:cs="Calibri"/>
                                <w:sz w:val="20"/>
                                <w:szCs w:val="20"/>
                                <w:lang w:val="el-GR"/>
                              </w:rPr>
                              <w:t>το δεύτερο τρίμηνο</w:t>
                            </w:r>
                            <w:r w:rsidRPr="00660104">
                              <w:rPr>
                                <w:rFonts w:cs="Calibri"/>
                                <w:sz w:val="20"/>
                                <w:szCs w:val="20"/>
                                <w:lang w:val="el-GR"/>
                              </w:rPr>
                              <w:t xml:space="preserve"> </w:t>
                            </w:r>
                            <w:r>
                              <w:rPr>
                                <w:rFonts w:cs="Calibri"/>
                                <w:sz w:val="20"/>
                                <w:szCs w:val="20"/>
                                <w:lang w:val="el-GR"/>
                              </w:rPr>
                              <w:t>-</w:t>
                            </w:r>
                            <w:r w:rsidRPr="00660104">
                              <w:rPr>
                                <w:rFonts w:cs="Calibri"/>
                                <w:sz w:val="20"/>
                                <w:szCs w:val="20"/>
                                <w:lang w:val="el-GR"/>
                              </w:rPr>
                              <w:t xml:space="preserve"> το </w:t>
                            </w:r>
                            <w:r>
                              <w:rPr>
                                <w:rFonts w:cs="Calibri"/>
                                <w:sz w:val="20"/>
                                <w:szCs w:val="20"/>
                                <w:lang w:val="el-GR"/>
                              </w:rPr>
                              <w:t xml:space="preserve">καλύτερο ιστορικά τρίμηνο της Πειραιώς </w:t>
                            </w:r>
                            <w:r w:rsidRPr="00660104">
                              <w:rPr>
                                <w:rFonts w:cs="Calibri"/>
                                <w:sz w:val="20"/>
                                <w:szCs w:val="20"/>
                                <w:lang w:val="el-GR"/>
                              </w:rPr>
                              <w:t xml:space="preserve"> </w:t>
                            </w:r>
                          </w:p>
                          <w:p w14:paraId="3EB80762" w14:textId="6EC23865" w:rsidR="00EA6E38" w:rsidRPr="00660104" w:rsidRDefault="00EA6E38" w:rsidP="00347470">
                            <w:pPr>
                              <w:pStyle w:val="ListParagraph"/>
                              <w:numPr>
                                <w:ilvl w:val="0"/>
                                <w:numId w:val="38"/>
                              </w:numPr>
                              <w:tabs>
                                <w:tab w:val="left" w:pos="10348"/>
                              </w:tabs>
                              <w:spacing w:after="120" w:line="276" w:lineRule="auto"/>
                              <w:ind w:left="2268" w:right="255" w:hanging="357"/>
                              <w:contextualSpacing w:val="0"/>
                              <w:jc w:val="both"/>
                              <w:rPr>
                                <w:rFonts w:cs="Calibri"/>
                                <w:sz w:val="20"/>
                                <w:szCs w:val="20"/>
                                <w:lang w:val="el-GR"/>
                              </w:rPr>
                            </w:pPr>
                            <w:r>
                              <w:rPr>
                                <w:rFonts w:cs="Calibri"/>
                                <w:sz w:val="20"/>
                                <w:szCs w:val="20"/>
                                <w:lang w:val="el-GR"/>
                              </w:rPr>
                              <w:t>Εκταμιεύσεις</w:t>
                            </w:r>
                            <w:r w:rsidRPr="00660104">
                              <w:rPr>
                                <w:rFonts w:cs="Calibri"/>
                                <w:sz w:val="20"/>
                                <w:szCs w:val="20"/>
                                <w:lang w:val="el-GR"/>
                              </w:rPr>
                              <w:t xml:space="preserve"> </w:t>
                            </w:r>
                            <w:r>
                              <w:rPr>
                                <w:rFonts w:cs="Calibri"/>
                                <w:sz w:val="20"/>
                                <w:szCs w:val="20"/>
                                <w:lang w:val="el-GR"/>
                              </w:rPr>
                              <w:t>δανείων</w:t>
                            </w:r>
                            <w:r w:rsidRPr="00660104">
                              <w:rPr>
                                <w:rFonts w:cs="Calibri"/>
                                <w:sz w:val="20"/>
                                <w:szCs w:val="20"/>
                                <w:lang w:val="el-GR"/>
                              </w:rPr>
                              <w:t xml:space="preserve"> </w:t>
                            </w:r>
                            <w:r>
                              <w:rPr>
                                <w:rFonts w:cs="Calibri"/>
                                <w:sz w:val="20"/>
                                <w:szCs w:val="20"/>
                                <w:lang w:val="el-GR"/>
                              </w:rPr>
                              <w:t>ύψους</w:t>
                            </w:r>
                            <w:r w:rsidRPr="00660104">
                              <w:rPr>
                                <w:rFonts w:cs="Calibri"/>
                                <w:sz w:val="20"/>
                                <w:szCs w:val="20"/>
                                <w:lang w:val="el-GR"/>
                              </w:rPr>
                              <w:t xml:space="preserve"> €1,8 </w:t>
                            </w:r>
                            <w:r>
                              <w:rPr>
                                <w:rFonts w:cs="Calibri"/>
                                <w:sz w:val="20"/>
                                <w:szCs w:val="20"/>
                                <w:lang w:val="el-GR"/>
                              </w:rPr>
                              <w:t>δισ</w:t>
                            </w:r>
                            <w:r w:rsidRPr="00660104">
                              <w:rPr>
                                <w:rFonts w:cs="Calibri"/>
                                <w:sz w:val="20"/>
                                <w:szCs w:val="20"/>
                                <w:lang w:val="el-GR"/>
                              </w:rPr>
                              <w:t xml:space="preserve">. </w:t>
                            </w:r>
                            <w:r>
                              <w:rPr>
                                <w:rFonts w:cs="Calibri"/>
                                <w:sz w:val="20"/>
                                <w:szCs w:val="20"/>
                                <w:lang w:val="el-GR"/>
                              </w:rPr>
                              <w:t>το δεύτερο τρίμηνο</w:t>
                            </w:r>
                            <w:r w:rsidRPr="00660104">
                              <w:rPr>
                                <w:rFonts w:cs="Calibri"/>
                                <w:sz w:val="20"/>
                                <w:szCs w:val="20"/>
                                <w:lang w:val="el-GR"/>
                              </w:rPr>
                              <w:t xml:space="preserve"> </w:t>
                            </w:r>
                            <w:r>
                              <w:rPr>
                                <w:rFonts w:cs="Calibri"/>
                                <w:sz w:val="20"/>
                                <w:szCs w:val="20"/>
                                <w:lang w:val="el-GR"/>
                              </w:rPr>
                              <w:t>-</w:t>
                            </w:r>
                            <w:r w:rsidRPr="00660104">
                              <w:rPr>
                                <w:rFonts w:cs="Calibri"/>
                                <w:sz w:val="20"/>
                                <w:szCs w:val="20"/>
                                <w:lang w:val="el-GR"/>
                              </w:rPr>
                              <w:t xml:space="preserve"> το </w:t>
                            </w:r>
                            <w:r>
                              <w:rPr>
                                <w:rFonts w:cs="Calibri"/>
                                <w:sz w:val="20"/>
                                <w:szCs w:val="20"/>
                                <w:lang w:val="el-GR"/>
                              </w:rPr>
                              <w:t xml:space="preserve">καλύτερο ιστορικά τρίμηνο της Πειραιώς </w:t>
                            </w:r>
                            <w:r w:rsidRPr="00660104">
                              <w:rPr>
                                <w:rFonts w:cs="Calibri"/>
                                <w:sz w:val="20"/>
                                <w:szCs w:val="20"/>
                                <w:lang w:val="el-GR"/>
                              </w:rPr>
                              <w:t xml:space="preserve"> </w:t>
                            </w:r>
                          </w:p>
                          <w:p w14:paraId="350000F6" w14:textId="356C9A63" w:rsidR="00EA6E38" w:rsidRPr="00084CF0" w:rsidRDefault="00EA6E38" w:rsidP="00347470">
                            <w:pPr>
                              <w:pStyle w:val="ListParagraph"/>
                              <w:numPr>
                                <w:ilvl w:val="0"/>
                                <w:numId w:val="38"/>
                              </w:numPr>
                              <w:tabs>
                                <w:tab w:val="left" w:pos="10348"/>
                              </w:tabs>
                              <w:spacing w:after="120" w:line="276" w:lineRule="auto"/>
                              <w:ind w:left="2268" w:right="255" w:hanging="357"/>
                              <w:contextualSpacing w:val="0"/>
                              <w:jc w:val="both"/>
                              <w:rPr>
                                <w:rFonts w:cs="Calibri"/>
                                <w:sz w:val="20"/>
                                <w:szCs w:val="20"/>
                                <w:lang w:val="el-GR"/>
                              </w:rPr>
                            </w:pPr>
                            <w:r w:rsidRPr="00084CF0">
                              <w:rPr>
                                <w:rFonts w:cs="Calibri"/>
                                <w:sz w:val="20"/>
                                <w:szCs w:val="20"/>
                                <w:lang w:val="el-GR"/>
                              </w:rPr>
                              <w:t>Οργανικό έξοδο προβλέψεων στ</w:t>
                            </w:r>
                            <w:r w:rsidRPr="00084CF0">
                              <w:rPr>
                                <w:rFonts w:cs="Calibri"/>
                                <w:sz w:val="20"/>
                                <w:szCs w:val="20"/>
                              </w:rPr>
                              <w:t>o</w:t>
                            </w:r>
                            <w:r w:rsidRPr="00084CF0">
                              <w:rPr>
                                <w:rFonts w:cs="Calibri"/>
                                <w:sz w:val="20"/>
                                <w:szCs w:val="20"/>
                                <w:lang w:val="el-GR"/>
                              </w:rPr>
                              <w:t xml:space="preserve"> 1,</w:t>
                            </w:r>
                            <w:r>
                              <w:rPr>
                                <w:rFonts w:cs="Calibri"/>
                                <w:sz w:val="20"/>
                                <w:szCs w:val="20"/>
                                <w:lang w:val="el-GR"/>
                              </w:rPr>
                              <w:t xml:space="preserve">1%, επί των δανείων μετά από προβλέψεις, </w:t>
                            </w:r>
                            <w:r w:rsidRPr="00084CF0">
                              <w:rPr>
                                <w:rFonts w:cs="Calibri"/>
                                <w:sz w:val="20"/>
                                <w:szCs w:val="20"/>
                                <w:lang w:val="el-GR"/>
                              </w:rPr>
                              <w:t xml:space="preserve">ήδη </w:t>
                            </w:r>
                            <w:r>
                              <w:rPr>
                                <w:rFonts w:cs="Calibri"/>
                                <w:sz w:val="20"/>
                                <w:szCs w:val="20"/>
                                <w:lang w:val="el-GR"/>
                              </w:rPr>
                              <w:t xml:space="preserve">στο επίπεδο </w:t>
                            </w:r>
                            <w:r w:rsidRPr="00084CF0">
                              <w:rPr>
                                <w:rFonts w:cs="Calibri"/>
                                <w:sz w:val="20"/>
                                <w:szCs w:val="20"/>
                                <w:lang w:val="el-GR"/>
                              </w:rPr>
                              <w:t>τη</w:t>
                            </w:r>
                            <w:r>
                              <w:rPr>
                                <w:rFonts w:cs="Calibri"/>
                                <w:sz w:val="20"/>
                                <w:szCs w:val="20"/>
                                <w:lang w:val="el-GR"/>
                              </w:rPr>
                              <w:t>ς</w:t>
                            </w:r>
                            <w:r w:rsidRPr="00084CF0">
                              <w:rPr>
                                <w:rFonts w:cs="Calibri"/>
                                <w:sz w:val="20"/>
                                <w:szCs w:val="20"/>
                                <w:lang w:val="el-GR"/>
                              </w:rPr>
                              <w:t xml:space="preserve"> </w:t>
                            </w:r>
                            <w:r>
                              <w:rPr>
                                <w:rFonts w:cs="Calibri"/>
                                <w:sz w:val="20"/>
                                <w:szCs w:val="20"/>
                                <w:lang w:val="el-GR"/>
                              </w:rPr>
                              <w:t xml:space="preserve">αντίστοιχης </w:t>
                            </w:r>
                            <w:r w:rsidRPr="00084CF0">
                              <w:rPr>
                                <w:rFonts w:cs="Calibri"/>
                                <w:sz w:val="20"/>
                                <w:szCs w:val="20"/>
                                <w:lang w:val="el-GR"/>
                              </w:rPr>
                              <w:t>βραχυπρόθεσμη</w:t>
                            </w:r>
                            <w:r>
                              <w:rPr>
                                <w:rFonts w:cs="Calibri"/>
                                <w:sz w:val="20"/>
                                <w:szCs w:val="20"/>
                                <w:lang w:val="el-GR"/>
                              </w:rPr>
                              <w:t>ς</w:t>
                            </w:r>
                            <w:r w:rsidRPr="00084CF0">
                              <w:rPr>
                                <w:rFonts w:cs="Calibri"/>
                                <w:sz w:val="20"/>
                                <w:szCs w:val="20"/>
                                <w:lang w:val="el-GR"/>
                              </w:rPr>
                              <w:t xml:space="preserve"> επιδίωξη</w:t>
                            </w:r>
                            <w:r>
                              <w:rPr>
                                <w:rFonts w:cs="Calibri"/>
                                <w:sz w:val="20"/>
                                <w:szCs w:val="20"/>
                                <w:lang w:val="el-GR"/>
                              </w:rPr>
                              <w:t>ς του Ομίλου</w:t>
                            </w:r>
                          </w:p>
                          <w:p w14:paraId="5C31A659" w14:textId="77777777" w:rsidR="00EA6E38" w:rsidRPr="00084CF0" w:rsidRDefault="00EA6E38" w:rsidP="00265ADC">
                            <w:pPr>
                              <w:pStyle w:val="ListParagraph"/>
                              <w:tabs>
                                <w:tab w:val="left" w:pos="10348"/>
                              </w:tabs>
                              <w:spacing w:line="264" w:lineRule="auto"/>
                              <w:ind w:left="2835" w:right="57"/>
                              <w:jc w:val="both"/>
                              <w:rPr>
                                <w:rFonts w:cs="Calibri"/>
                                <w:sz w:val="20"/>
                                <w:szCs w:val="20"/>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3BA04" id="_x0000_s1028" style="position:absolute;left:0;text-align:left;margin-left:0;margin-top:38pt;width:540.5pt;height:596.3pt;z-index:-2516152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" fillcolor="#e6e6e1" stroked="f">
                <o:lock v:ext="edit" aspectratio="t"/>
                <v:textbox>
                  <w:txbxContent>
                    <w:p w14:paraId="5A2DEEDD" w14:textId="77777777" w:rsidR="00EA6E38" w:rsidRPr="00E1370A" w:rsidRDefault="00EA6E38" w:rsidP="00265ADC">
                      <w:pPr>
                        <w:pStyle w:val="ListParagraph"/>
                        <w:tabs>
                          <w:tab w:val="left" w:pos="5040"/>
                          <w:tab w:val="left" w:pos="10348"/>
                        </w:tabs>
                        <w:ind w:left="2552" w:right="258"/>
                        <w:contextualSpacing w:val="0"/>
                        <w:rPr>
                          <w:rFonts w:cs="Calibri"/>
                          <w:b/>
                          <w:color w:val="6691AB"/>
                          <w:sz w:val="10"/>
                          <w:szCs w:val="20"/>
                          <w:lang w:val="el-GR"/>
                        </w:rPr>
                      </w:pPr>
                    </w:p>
                    <w:p w14:paraId="01174C37" w14:textId="77777777" w:rsidR="00EA6E38" w:rsidRPr="00E1370A" w:rsidRDefault="00EA6E38" w:rsidP="00265ADC">
                      <w:pPr>
                        <w:pStyle w:val="ListParagraph"/>
                        <w:tabs>
                          <w:tab w:val="left" w:pos="5040"/>
                          <w:tab w:val="left" w:pos="10348"/>
                        </w:tabs>
                        <w:spacing w:after="120"/>
                        <w:ind w:left="2552" w:right="258"/>
                        <w:contextualSpacing w:val="0"/>
                        <w:rPr>
                          <w:rFonts w:cs="Calibri"/>
                          <w:b/>
                          <w:color w:val="6691AB"/>
                          <w:sz w:val="8"/>
                          <w:szCs w:val="20"/>
                          <w:lang w:val="el-GR"/>
                        </w:rPr>
                      </w:pPr>
                    </w:p>
                    <w:p w14:paraId="26CDB542" w14:textId="77777777" w:rsidR="00EA6E38" w:rsidRDefault="00EA6E38" w:rsidP="00265ADC">
                      <w:pPr>
                        <w:pStyle w:val="ListParagraph"/>
                        <w:tabs>
                          <w:tab w:val="left" w:pos="5040"/>
                          <w:tab w:val="left" w:pos="10348"/>
                        </w:tabs>
                        <w:spacing w:line="276" w:lineRule="auto"/>
                        <w:ind w:left="1985" w:right="258"/>
                        <w:contextualSpacing w:val="0"/>
                        <w:rPr>
                          <w:rFonts w:cs="Calibri"/>
                          <w:b/>
                          <w:color w:val="6691AB"/>
                          <w:szCs w:val="20"/>
                          <w:lang w:val="el-GR"/>
                        </w:rPr>
                      </w:pPr>
                    </w:p>
                    <w:p w14:paraId="51E7B95B" w14:textId="77777777" w:rsidR="00EA6E38" w:rsidRDefault="00EA6E38" w:rsidP="00265ADC">
                      <w:pPr>
                        <w:pStyle w:val="ListParagraph"/>
                        <w:tabs>
                          <w:tab w:val="left" w:pos="5040"/>
                          <w:tab w:val="left" w:pos="10348"/>
                        </w:tabs>
                        <w:spacing w:line="276" w:lineRule="auto"/>
                        <w:ind w:left="1985" w:right="258"/>
                        <w:contextualSpacing w:val="0"/>
                        <w:rPr>
                          <w:rFonts w:cs="Calibri"/>
                          <w:b/>
                          <w:color w:val="6691AB"/>
                          <w:szCs w:val="20"/>
                          <w:lang w:val="el-GR"/>
                        </w:rPr>
                      </w:pPr>
                    </w:p>
                    <w:p w14:paraId="75D37E9E" w14:textId="71281701" w:rsidR="00EA6E38" w:rsidRDefault="00EA6E38" w:rsidP="00265ADC">
                      <w:pPr>
                        <w:pStyle w:val="ListParagraph"/>
                        <w:tabs>
                          <w:tab w:val="left" w:pos="5040"/>
                          <w:tab w:val="left" w:pos="10348"/>
                        </w:tabs>
                        <w:spacing w:line="276" w:lineRule="auto"/>
                        <w:ind w:left="1985" w:right="258"/>
                        <w:contextualSpacing w:val="0"/>
                        <w:rPr>
                          <w:rFonts w:cs="Calibri"/>
                          <w:b/>
                          <w:color w:val="6691AB"/>
                          <w:szCs w:val="20"/>
                          <w:lang w:val="el-GR"/>
                        </w:rPr>
                      </w:pPr>
                      <w:r>
                        <w:rPr>
                          <w:rFonts w:cs="Calibri"/>
                          <w:b/>
                          <w:color w:val="6691AB"/>
                          <w:szCs w:val="20"/>
                          <w:lang w:val="el-GR"/>
                        </w:rPr>
                        <w:t>Κατά</w:t>
                      </w:r>
                      <w:r w:rsidRPr="00E1370A">
                        <w:rPr>
                          <w:rFonts w:cs="Calibri"/>
                          <w:b/>
                          <w:color w:val="6691AB"/>
                          <w:szCs w:val="20"/>
                          <w:lang w:val="el-GR"/>
                        </w:rPr>
                        <w:t xml:space="preserve"> </w:t>
                      </w:r>
                      <w:r>
                        <w:rPr>
                          <w:rFonts w:cs="Calibri"/>
                          <w:b/>
                          <w:color w:val="6691AB"/>
                          <w:szCs w:val="20"/>
                          <w:lang w:val="el-GR"/>
                        </w:rPr>
                        <w:t>τους</w:t>
                      </w:r>
                      <w:r w:rsidRPr="00E1370A">
                        <w:rPr>
                          <w:rFonts w:cs="Calibri"/>
                          <w:b/>
                          <w:color w:val="6691AB"/>
                          <w:szCs w:val="20"/>
                          <w:lang w:val="el-GR"/>
                        </w:rPr>
                        <w:t xml:space="preserve"> </w:t>
                      </w:r>
                      <w:r>
                        <w:rPr>
                          <w:rFonts w:cs="Calibri"/>
                          <w:b/>
                          <w:color w:val="6691AB"/>
                          <w:szCs w:val="20"/>
                          <w:lang w:val="el-GR"/>
                        </w:rPr>
                        <w:t>τελευταίους</w:t>
                      </w:r>
                      <w:r w:rsidRPr="00E1370A">
                        <w:rPr>
                          <w:rFonts w:cs="Calibri"/>
                          <w:b/>
                          <w:color w:val="6691AB"/>
                          <w:szCs w:val="20"/>
                          <w:lang w:val="el-GR"/>
                        </w:rPr>
                        <w:t xml:space="preserve"> 6 </w:t>
                      </w:r>
                      <w:r>
                        <w:rPr>
                          <w:rFonts w:cs="Calibri"/>
                          <w:b/>
                          <w:color w:val="6691AB"/>
                          <w:szCs w:val="20"/>
                          <w:lang w:val="el-GR"/>
                        </w:rPr>
                        <w:t>μήνες</w:t>
                      </w:r>
                      <w:r w:rsidRPr="00E1370A">
                        <w:rPr>
                          <w:rFonts w:cs="Calibri"/>
                          <w:b/>
                          <w:color w:val="6691AB"/>
                          <w:szCs w:val="20"/>
                          <w:lang w:val="el-GR"/>
                        </w:rPr>
                        <w:t xml:space="preserve">, </w:t>
                      </w:r>
                      <w:r>
                        <w:rPr>
                          <w:rFonts w:cs="Calibri"/>
                          <w:b/>
                          <w:color w:val="6691AB"/>
                          <w:szCs w:val="20"/>
                          <w:lang w:val="el-GR"/>
                        </w:rPr>
                        <w:t xml:space="preserve">περίπου </w:t>
                      </w:r>
                      <w:r w:rsidRPr="00E1370A">
                        <w:rPr>
                          <w:rFonts w:cs="Calibri"/>
                          <w:b/>
                          <w:color w:val="6691AB"/>
                          <w:szCs w:val="20"/>
                          <w:lang w:val="el-GR"/>
                        </w:rPr>
                        <w:t>80%</w:t>
                      </w:r>
                      <w:r w:rsidRPr="00263465">
                        <w:rPr>
                          <w:rFonts w:cs="Calibri"/>
                          <w:b/>
                          <w:color w:val="6691AB"/>
                          <w:szCs w:val="20"/>
                          <w:lang w:val="el-GR"/>
                        </w:rPr>
                        <w:t xml:space="preserve"> </w:t>
                      </w:r>
                      <w:r>
                        <w:rPr>
                          <w:rFonts w:cs="Calibri"/>
                          <w:b/>
                          <w:color w:val="6691AB"/>
                          <w:szCs w:val="20"/>
                          <w:lang w:val="el-GR"/>
                        </w:rPr>
                        <w:t xml:space="preserve">του σχεδίου </w:t>
                      </w:r>
                      <w:r w:rsidRPr="00E1370A">
                        <w:rPr>
                          <w:rFonts w:cs="Calibri"/>
                          <w:b/>
                          <w:color w:val="6691AB"/>
                          <w:szCs w:val="20"/>
                        </w:rPr>
                        <w:t>Sunrise</w:t>
                      </w:r>
                      <w:r w:rsidRPr="00E1370A">
                        <w:rPr>
                          <w:rFonts w:cs="Calibri"/>
                          <w:b/>
                          <w:color w:val="6691AB"/>
                          <w:szCs w:val="20"/>
                          <w:lang w:val="el-GR"/>
                        </w:rPr>
                        <w:t xml:space="preserve"> </w:t>
                      </w:r>
                      <w:r>
                        <w:rPr>
                          <w:rFonts w:cs="Calibri"/>
                          <w:b/>
                          <w:color w:val="6691AB"/>
                          <w:szCs w:val="20"/>
                          <w:lang w:val="el-GR"/>
                        </w:rPr>
                        <w:t>έχει ήδη υλοποιηθεί</w:t>
                      </w:r>
                    </w:p>
                    <w:p w14:paraId="2A077521" w14:textId="77777777" w:rsidR="00EA6E38" w:rsidRDefault="00EA6E38" w:rsidP="00265ADC">
                      <w:pPr>
                        <w:pStyle w:val="ListParagraph"/>
                        <w:tabs>
                          <w:tab w:val="left" w:pos="5040"/>
                          <w:tab w:val="left" w:pos="10348"/>
                        </w:tabs>
                        <w:spacing w:line="276" w:lineRule="auto"/>
                        <w:ind w:left="1985" w:right="258"/>
                        <w:contextualSpacing w:val="0"/>
                        <w:rPr>
                          <w:rFonts w:cs="Calibri"/>
                          <w:b/>
                          <w:color w:val="6691AB"/>
                          <w:szCs w:val="20"/>
                          <w:lang w:val="el-GR"/>
                        </w:rPr>
                      </w:pPr>
                    </w:p>
                    <w:p w14:paraId="4DAD6CC8" w14:textId="77777777" w:rsidR="00EA6E38" w:rsidRPr="002E0B02" w:rsidRDefault="00EA6E38" w:rsidP="00265ADC">
                      <w:pPr>
                        <w:pStyle w:val="ListParagraph"/>
                        <w:tabs>
                          <w:tab w:val="left" w:pos="5040"/>
                          <w:tab w:val="left" w:pos="10348"/>
                        </w:tabs>
                        <w:spacing w:line="276" w:lineRule="auto"/>
                        <w:ind w:left="1985" w:right="258"/>
                        <w:contextualSpacing w:val="0"/>
                        <w:rPr>
                          <w:rFonts w:cs="Calibri"/>
                          <w:b/>
                          <w:color w:val="6691AB"/>
                          <w:sz w:val="6"/>
                          <w:szCs w:val="20"/>
                          <w:lang w:val="el-GR"/>
                        </w:rPr>
                      </w:pPr>
                    </w:p>
                    <w:p w14:paraId="113323EE" w14:textId="77777777" w:rsidR="00EA6E38" w:rsidRPr="00E1370A" w:rsidRDefault="00EA6E38" w:rsidP="00347470">
                      <w:pPr>
                        <w:pStyle w:val="ListParagraph"/>
                        <w:numPr>
                          <w:ilvl w:val="0"/>
                          <w:numId w:val="38"/>
                        </w:numPr>
                        <w:tabs>
                          <w:tab w:val="left" w:pos="10348"/>
                        </w:tabs>
                        <w:spacing w:after="120" w:line="276" w:lineRule="auto"/>
                        <w:ind w:left="2268" w:right="255" w:hanging="357"/>
                        <w:contextualSpacing w:val="0"/>
                        <w:jc w:val="both"/>
                        <w:rPr>
                          <w:rFonts w:cs="Calibri"/>
                          <w:sz w:val="20"/>
                          <w:szCs w:val="20"/>
                          <w:lang w:val="el-GR"/>
                        </w:rPr>
                      </w:pPr>
                      <w:r>
                        <w:rPr>
                          <w:rFonts w:cs="Calibri"/>
                          <w:sz w:val="20"/>
                          <w:szCs w:val="20"/>
                          <w:lang w:val="el-GR"/>
                        </w:rPr>
                        <w:t>Α</w:t>
                      </w:r>
                      <w:r w:rsidRPr="00E1370A">
                        <w:rPr>
                          <w:rFonts w:cs="Calibri"/>
                          <w:sz w:val="20"/>
                          <w:szCs w:val="20"/>
                          <w:lang w:val="el-GR"/>
                        </w:rPr>
                        <w:t>ύξηση μετοχικού κεφαλαίου ύψους €1,4 δισ. τον Απρίλιο 2021</w:t>
                      </w:r>
                    </w:p>
                    <w:p w14:paraId="71F60AD2" w14:textId="77777777" w:rsidR="00EA6E38" w:rsidRPr="009B7F70" w:rsidRDefault="00EA6E38" w:rsidP="00347470">
                      <w:pPr>
                        <w:pStyle w:val="ListParagraph"/>
                        <w:numPr>
                          <w:ilvl w:val="0"/>
                          <w:numId w:val="38"/>
                        </w:numPr>
                        <w:tabs>
                          <w:tab w:val="left" w:pos="10348"/>
                        </w:tabs>
                        <w:spacing w:after="120" w:line="276" w:lineRule="auto"/>
                        <w:ind w:left="2268" w:right="255" w:hanging="357"/>
                        <w:contextualSpacing w:val="0"/>
                        <w:jc w:val="both"/>
                        <w:rPr>
                          <w:rFonts w:cs="Calibri"/>
                          <w:sz w:val="20"/>
                          <w:szCs w:val="20"/>
                          <w:lang w:val="el-GR"/>
                        </w:rPr>
                      </w:pPr>
                      <w:r w:rsidRPr="00B42689">
                        <w:rPr>
                          <w:rFonts w:cs="Calibri"/>
                          <w:sz w:val="20"/>
                          <w:szCs w:val="20"/>
                          <w:lang w:val="el-GR"/>
                        </w:rPr>
                        <w:t>Έκδοση</w:t>
                      </w:r>
                      <w:r w:rsidRPr="009B7F70">
                        <w:rPr>
                          <w:rFonts w:cs="Calibri"/>
                          <w:sz w:val="20"/>
                          <w:szCs w:val="20"/>
                          <w:lang w:val="el-GR"/>
                        </w:rPr>
                        <w:t xml:space="preserve"> </w:t>
                      </w:r>
                      <w:r w:rsidRPr="00B42689">
                        <w:rPr>
                          <w:rFonts w:cs="Calibri"/>
                          <w:sz w:val="20"/>
                          <w:szCs w:val="20"/>
                          <w:lang w:val="el-GR"/>
                        </w:rPr>
                        <w:t>ομολόγου</w:t>
                      </w:r>
                      <w:r w:rsidRPr="009B7F70">
                        <w:rPr>
                          <w:rFonts w:cs="Calibri"/>
                          <w:sz w:val="20"/>
                          <w:szCs w:val="20"/>
                          <w:lang w:val="el-GR"/>
                        </w:rPr>
                        <w:t xml:space="preserve"> </w:t>
                      </w:r>
                      <w:r w:rsidRPr="00E458C5">
                        <w:rPr>
                          <w:rFonts w:cs="Calibri"/>
                          <w:sz w:val="20"/>
                          <w:szCs w:val="20"/>
                        </w:rPr>
                        <w:t>Additional</w:t>
                      </w:r>
                      <w:r w:rsidRPr="009B7F70">
                        <w:rPr>
                          <w:rFonts w:cs="Calibri"/>
                          <w:sz w:val="20"/>
                          <w:szCs w:val="20"/>
                          <w:lang w:val="el-GR"/>
                        </w:rPr>
                        <w:t xml:space="preserve"> </w:t>
                      </w:r>
                      <w:r w:rsidRPr="00E458C5">
                        <w:rPr>
                          <w:rFonts w:cs="Calibri"/>
                          <w:sz w:val="20"/>
                          <w:szCs w:val="20"/>
                        </w:rPr>
                        <w:t>Tier</w:t>
                      </w:r>
                      <w:r w:rsidRPr="009B7F70">
                        <w:rPr>
                          <w:rFonts w:cs="Calibri"/>
                          <w:sz w:val="20"/>
                          <w:szCs w:val="20"/>
                          <w:lang w:val="el-GR"/>
                        </w:rPr>
                        <w:t xml:space="preserve"> 1 </w:t>
                      </w:r>
                      <w:r w:rsidRPr="00B42689">
                        <w:rPr>
                          <w:rFonts w:cs="Calibri"/>
                          <w:sz w:val="20"/>
                          <w:szCs w:val="20"/>
                          <w:lang w:val="el-GR"/>
                        </w:rPr>
                        <w:t>ύψους</w:t>
                      </w:r>
                      <w:r w:rsidRPr="009B7F70">
                        <w:rPr>
                          <w:rFonts w:cs="Calibri"/>
                          <w:sz w:val="20"/>
                          <w:szCs w:val="20"/>
                          <w:lang w:val="el-GR"/>
                        </w:rPr>
                        <w:t xml:space="preserve"> €0,6 </w:t>
                      </w:r>
                      <w:r>
                        <w:rPr>
                          <w:rFonts w:cs="Calibri"/>
                          <w:sz w:val="20"/>
                          <w:szCs w:val="20"/>
                          <w:lang w:val="el-GR"/>
                        </w:rPr>
                        <w:t>δισ</w:t>
                      </w:r>
                      <w:r w:rsidRPr="009B7F70">
                        <w:rPr>
                          <w:rFonts w:cs="Calibri"/>
                          <w:sz w:val="20"/>
                          <w:szCs w:val="20"/>
                          <w:lang w:val="el-GR"/>
                        </w:rPr>
                        <w:t xml:space="preserve">. </w:t>
                      </w:r>
                      <w:r w:rsidRPr="00B42689">
                        <w:rPr>
                          <w:rFonts w:cs="Calibri"/>
                          <w:sz w:val="20"/>
                          <w:szCs w:val="20"/>
                          <w:lang w:val="el-GR"/>
                        </w:rPr>
                        <w:t>τον</w:t>
                      </w:r>
                      <w:r w:rsidRPr="009B7F70">
                        <w:rPr>
                          <w:rFonts w:cs="Calibri"/>
                          <w:sz w:val="20"/>
                          <w:szCs w:val="20"/>
                          <w:lang w:val="el-GR"/>
                        </w:rPr>
                        <w:t xml:space="preserve"> </w:t>
                      </w:r>
                      <w:r w:rsidRPr="00B42689">
                        <w:rPr>
                          <w:rFonts w:cs="Calibri"/>
                          <w:sz w:val="20"/>
                          <w:szCs w:val="20"/>
                          <w:lang w:val="el-GR"/>
                        </w:rPr>
                        <w:t>Ιούνιο</w:t>
                      </w:r>
                      <w:r w:rsidRPr="009B7F70">
                        <w:rPr>
                          <w:rFonts w:cs="Calibri"/>
                          <w:sz w:val="20"/>
                          <w:szCs w:val="20"/>
                          <w:lang w:val="el-GR"/>
                        </w:rPr>
                        <w:t xml:space="preserve"> 2021</w:t>
                      </w:r>
                    </w:p>
                    <w:p w14:paraId="0709FE52" w14:textId="77777777" w:rsidR="00EA6E38" w:rsidRPr="00333C23" w:rsidRDefault="00EA6E38" w:rsidP="00347470">
                      <w:pPr>
                        <w:pStyle w:val="ListParagraph"/>
                        <w:numPr>
                          <w:ilvl w:val="0"/>
                          <w:numId w:val="38"/>
                        </w:numPr>
                        <w:tabs>
                          <w:tab w:val="left" w:pos="10348"/>
                        </w:tabs>
                        <w:spacing w:after="120" w:line="276" w:lineRule="auto"/>
                        <w:ind w:left="2268" w:right="255" w:hanging="357"/>
                        <w:contextualSpacing w:val="0"/>
                        <w:jc w:val="both"/>
                        <w:rPr>
                          <w:rFonts w:cs="Calibri"/>
                          <w:sz w:val="20"/>
                          <w:szCs w:val="20"/>
                          <w:lang w:val="el-GR"/>
                        </w:rPr>
                      </w:pPr>
                      <w:r>
                        <w:rPr>
                          <w:rFonts w:cs="Calibri"/>
                          <w:sz w:val="20"/>
                          <w:szCs w:val="20"/>
                          <w:lang w:val="el-GR"/>
                        </w:rPr>
                        <w:t>Δ</w:t>
                      </w:r>
                      <w:r w:rsidRPr="00084CF0">
                        <w:rPr>
                          <w:rFonts w:cs="Calibri"/>
                          <w:sz w:val="20"/>
                          <w:szCs w:val="20"/>
                          <w:lang w:val="el-GR"/>
                        </w:rPr>
                        <w:t xml:space="preserve">ράσεις κεφαλαιακής ενίσχυσης ύψους €0,8 </w:t>
                      </w:r>
                      <w:r>
                        <w:rPr>
                          <w:rFonts w:cs="Calibri"/>
                          <w:sz w:val="20"/>
                          <w:szCs w:val="20"/>
                          <w:lang w:val="el-GR"/>
                        </w:rPr>
                        <w:t>δισ</w:t>
                      </w:r>
                      <w:r w:rsidRPr="00084CF0">
                        <w:rPr>
                          <w:rFonts w:cs="Calibri"/>
                          <w:sz w:val="20"/>
                          <w:szCs w:val="20"/>
                          <w:lang w:val="el-GR"/>
                        </w:rPr>
                        <w:t>.: (</w:t>
                      </w:r>
                      <w:r>
                        <w:rPr>
                          <w:rFonts w:cs="Calibri"/>
                          <w:sz w:val="20"/>
                          <w:szCs w:val="20"/>
                          <w:lang w:val="el-GR"/>
                        </w:rPr>
                        <w:t>α</w:t>
                      </w:r>
                      <w:r w:rsidRPr="00084CF0">
                        <w:rPr>
                          <w:rFonts w:cs="Calibri"/>
                          <w:sz w:val="20"/>
                          <w:szCs w:val="20"/>
                          <w:lang w:val="el-GR"/>
                        </w:rPr>
                        <w:t xml:space="preserve">) €0,4 </w:t>
                      </w:r>
                      <w:r>
                        <w:rPr>
                          <w:rFonts w:cs="Calibri"/>
                          <w:sz w:val="20"/>
                          <w:szCs w:val="20"/>
                          <w:lang w:val="el-GR"/>
                        </w:rPr>
                        <w:t>δισ</w:t>
                      </w:r>
                      <w:r w:rsidRPr="00084CF0">
                        <w:rPr>
                          <w:rFonts w:cs="Calibri"/>
                          <w:sz w:val="20"/>
                          <w:szCs w:val="20"/>
                          <w:lang w:val="el-GR"/>
                        </w:rPr>
                        <w:t>.</w:t>
                      </w:r>
                      <w:r w:rsidRPr="00084CF0">
                        <w:rPr>
                          <w:rFonts w:cs="Calibri"/>
                          <w:bCs/>
                          <w:sz w:val="20"/>
                          <w:szCs w:val="20"/>
                          <w:lang w:val="el-GR"/>
                        </w:rPr>
                        <w:t xml:space="preserve"> </w:t>
                      </w:r>
                      <w:r>
                        <w:rPr>
                          <w:rFonts w:cs="Calibri"/>
                          <w:bCs/>
                          <w:sz w:val="20"/>
                          <w:szCs w:val="20"/>
                          <w:lang w:val="el-GR"/>
                        </w:rPr>
                        <w:t xml:space="preserve">κέρδη από χαρτοφυλάκιο κρατικών ομολόγων, </w:t>
                      </w:r>
                      <w:r w:rsidRPr="00084CF0">
                        <w:rPr>
                          <w:rFonts w:cs="Calibri"/>
                          <w:sz w:val="20"/>
                          <w:szCs w:val="20"/>
                          <w:lang w:val="el-GR"/>
                        </w:rPr>
                        <w:t xml:space="preserve">(β) €0,1 </w:t>
                      </w:r>
                      <w:r>
                        <w:rPr>
                          <w:rFonts w:cs="Calibri"/>
                          <w:sz w:val="20"/>
                          <w:szCs w:val="20"/>
                          <w:lang w:val="el-GR"/>
                        </w:rPr>
                        <w:t>δισ</w:t>
                      </w:r>
                      <w:r w:rsidRPr="00084CF0">
                        <w:rPr>
                          <w:rFonts w:cs="Calibri"/>
                          <w:sz w:val="20"/>
                          <w:szCs w:val="20"/>
                          <w:lang w:val="el-GR"/>
                        </w:rPr>
                        <w:t xml:space="preserve">. </w:t>
                      </w:r>
                      <w:r>
                        <w:rPr>
                          <w:rFonts w:cs="Calibri"/>
                          <w:sz w:val="20"/>
                          <w:szCs w:val="20"/>
                          <w:lang w:val="el-GR"/>
                        </w:rPr>
                        <w:t>από</w:t>
                      </w:r>
                      <w:r w:rsidRPr="00084CF0">
                        <w:rPr>
                          <w:rFonts w:cs="Calibri"/>
                          <w:sz w:val="20"/>
                          <w:szCs w:val="20"/>
                          <w:lang w:val="el-GR"/>
                        </w:rPr>
                        <w:t xml:space="preserve"> </w:t>
                      </w:r>
                      <w:r>
                        <w:rPr>
                          <w:rFonts w:cs="Calibri"/>
                          <w:sz w:val="20"/>
                          <w:szCs w:val="20"/>
                          <w:lang w:val="el-GR"/>
                        </w:rPr>
                        <w:t>την</w:t>
                      </w:r>
                      <w:r w:rsidRPr="00084CF0">
                        <w:rPr>
                          <w:rFonts w:cs="Calibri"/>
                          <w:sz w:val="20"/>
                          <w:szCs w:val="20"/>
                          <w:lang w:val="el-GR"/>
                        </w:rPr>
                        <w:t xml:space="preserve"> </w:t>
                      </w:r>
                      <w:r>
                        <w:rPr>
                          <w:rFonts w:cs="Calibri"/>
                          <w:sz w:val="20"/>
                          <w:szCs w:val="20"/>
                          <w:lang w:val="el-GR"/>
                        </w:rPr>
                        <w:t>πρώτη</w:t>
                      </w:r>
                      <w:r w:rsidRPr="00084CF0">
                        <w:rPr>
                          <w:rFonts w:cs="Calibri"/>
                          <w:sz w:val="20"/>
                          <w:szCs w:val="20"/>
                          <w:lang w:val="el-GR"/>
                        </w:rPr>
                        <w:t xml:space="preserve"> </w:t>
                      </w:r>
                      <w:r>
                        <w:rPr>
                          <w:rFonts w:cs="Calibri"/>
                          <w:sz w:val="20"/>
                          <w:szCs w:val="20"/>
                          <w:lang w:val="el-GR"/>
                        </w:rPr>
                        <w:t>συνθετική</w:t>
                      </w:r>
                      <w:r w:rsidRPr="00084CF0">
                        <w:rPr>
                          <w:rFonts w:cs="Calibri"/>
                          <w:sz w:val="20"/>
                          <w:szCs w:val="20"/>
                          <w:lang w:val="el-GR"/>
                        </w:rPr>
                        <w:t xml:space="preserve"> </w:t>
                      </w:r>
                      <w:proofErr w:type="spellStart"/>
                      <w:r>
                        <w:rPr>
                          <w:rFonts w:cs="Calibri"/>
                          <w:sz w:val="20"/>
                          <w:szCs w:val="20"/>
                          <w:lang w:val="el-GR"/>
                        </w:rPr>
                        <w:t>τιτλοποίηση</w:t>
                      </w:r>
                      <w:proofErr w:type="spellEnd"/>
                      <w:r w:rsidRPr="00084CF0">
                        <w:rPr>
                          <w:rFonts w:cs="Calibri"/>
                          <w:sz w:val="20"/>
                          <w:szCs w:val="20"/>
                          <w:lang w:val="el-GR"/>
                        </w:rPr>
                        <w:t xml:space="preserve"> </w:t>
                      </w:r>
                      <w:r>
                        <w:rPr>
                          <w:rFonts w:cs="Calibri"/>
                          <w:sz w:val="20"/>
                          <w:szCs w:val="20"/>
                          <w:lang w:val="el-GR"/>
                        </w:rPr>
                        <w:t>που υλοποιήθηκε το</w:t>
                      </w:r>
                      <w:r w:rsidRPr="00084CF0">
                        <w:rPr>
                          <w:rFonts w:cs="Calibri"/>
                          <w:sz w:val="20"/>
                          <w:szCs w:val="20"/>
                          <w:lang w:val="el-GR"/>
                        </w:rPr>
                        <w:t xml:space="preserve"> </w:t>
                      </w:r>
                      <w:r>
                        <w:rPr>
                          <w:rFonts w:cs="Calibri"/>
                          <w:sz w:val="20"/>
                          <w:szCs w:val="20"/>
                          <w:lang w:val="el-GR"/>
                        </w:rPr>
                        <w:t>δεύτερο τρίμηνο,</w:t>
                      </w:r>
                      <w:r w:rsidRPr="00084CF0">
                        <w:rPr>
                          <w:rFonts w:cs="Calibri"/>
                          <w:sz w:val="20"/>
                          <w:szCs w:val="20"/>
                          <w:lang w:val="el-GR"/>
                        </w:rPr>
                        <w:t xml:space="preserve"> </w:t>
                      </w:r>
                      <w:r w:rsidRPr="00333C23">
                        <w:rPr>
                          <w:rFonts w:cs="Calibri"/>
                          <w:sz w:val="20"/>
                          <w:szCs w:val="20"/>
                          <w:lang w:val="el-GR"/>
                        </w:rPr>
                        <w:t>(</w:t>
                      </w:r>
                      <w:r>
                        <w:rPr>
                          <w:rFonts w:cs="Calibri"/>
                          <w:sz w:val="20"/>
                          <w:szCs w:val="20"/>
                          <w:lang w:val="el-GR"/>
                        </w:rPr>
                        <w:t>γ</w:t>
                      </w:r>
                      <w:r w:rsidRPr="00333C23">
                        <w:rPr>
                          <w:rFonts w:cs="Calibri"/>
                          <w:sz w:val="20"/>
                          <w:szCs w:val="20"/>
                          <w:lang w:val="el-GR"/>
                        </w:rPr>
                        <w:t xml:space="preserve">) €0,3 </w:t>
                      </w:r>
                      <w:r>
                        <w:rPr>
                          <w:rFonts w:cs="Calibri"/>
                          <w:sz w:val="20"/>
                          <w:szCs w:val="20"/>
                          <w:lang w:val="el-GR"/>
                        </w:rPr>
                        <w:t>δισ</w:t>
                      </w:r>
                      <w:r w:rsidRPr="00333C23">
                        <w:rPr>
                          <w:rFonts w:cs="Calibri"/>
                          <w:sz w:val="20"/>
                          <w:szCs w:val="20"/>
                          <w:lang w:val="el-GR"/>
                        </w:rPr>
                        <w:t xml:space="preserve">. </w:t>
                      </w:r>
                      <w:r>
                        <w:rPr>
                          <w:rFonts w:cs="Calibri"/>
                          <w:sz w:val="20"/>
                          <w:szCs w:val="20"/>
                          <w:lang w:val="el-GR"/>
                        </w:rPr>
                        <w:t xml:space="preserve">από την </w:t>
                      </w:r>
                      <w:r w:rsidRPr="00530F75">
                        <w:rPr>
                          <w:rFonts w:cs="Calibri"/>
                          <w:sz w:val="20"/>
                          <w:szCs w:val="20"/>
                          <w:lang w:val="el-GR"/>
                        </w:rPr>
                        <w:t>απόσχιση και πώληση της πλατφόρμας αποδοχής καρτών</w:t>
                      </w:r>
                      <w:r w:rsidRPr="00333C23">
                        <w:rPr>
                          <w:rFonts w:cs="Calibri"/>
                          <w:sz w:val="20"/>
                          <w:szCs w:val="20"/>
                          <w:lang w:val="el-GR"/>
                        </w:rPr>
                        <w:t xml:space="preserve">, </w:t>
                      </w:r>
                      <w:r>
                        <w:rPr>
                          <w:rFonts w:cs="Calibri"/>
                          <w:sz w:val="20"/>
                          <w:szCs w:val="20"/>
                          <w:lang w:val="el-GR"/>
                        </w:rPr>
                        <w:t xml:space="preserve">η οποία αναμένεται να ολοκληρωθεί το τρίτο τρίμηνο </w:t>
                      </w:r>
                    </w:p>
                    <w:p w14:paraId="256E5626" w14:textId="77777777" w:rsidR="00EA6E38" w:rsidRPr="005F61A0" w:rsidRDefault="00EA6E38" w:rsidP="00347470">
                      <w:pPr>
                        <w:pStyle w:val="ListParagraph"/>
                        <w:numPr>
                          <w:ilvl w:val="0"/>
                          <w:numId w:val="38"/>
                        </w:numPr>
                        <w:tabs>
                          <w:tab w:val="left" w:pos="10348"/>
                        </w:tabs>
                        <w:spacing w:after="120" w:line="276" w:lineRule="auto"/>
                        <w:ind w:left="2268" w:right="255" w:hanging="357"/>
                        <w:contextualSpacing w:val="0"/>
                        <w:jc w:val="both"/>
                        <w:rPr>
                          <w:rFonts w:cs="Calibri"/>
                          <w:sz w:val="20"/>
                          <w:szCs w:val="20"/>
                          <w:lang w:val="el-GR"/>
                        </w:rPr>
                      </w:pPr>
                      <w:r w:rsidRPr="005F61A0">
                        <w:rPr>
                          <w:rFonts w:cs="Calibri"/>
                          <w:sz w:val="20"/>
                          <w:szCs w:val="20"/>
                          <w:lang w:val="el-GR"/>
                        </w:rPr>
                        <w:t xml:space="preserve">Συναλλαγές </w:t>
                      </w:r>
                      <w:r w:rsidRPr="005F61A0">
                        <w:rPr>
                          <w:rFonts w:cs="Calibri"/>
                          <w:sz w:val="20"/>
                          <w:szCs w:val="20"/>
                        </w:rPr>
                        <w:t>NPE</w:t>
                      </w:r>
                      <w:r w:rsidRPr="005F61A0">
                        <w:rPr>
                          <w:rFonts w:cs="Calibri"/>
                          <w:sz w:val="20"/>
                          <w:szCs w:val="20"/>
                          <w:lang w:val="el-GR"/>
                        </w:rPr>
                        <w:t xml:space="preserve"> </w:t>
                      </w:r>
                      <w:r w:rsidRPr="005F61A0">
                        <w:rPr>
                          <w:rFonts w:cs="Calibri"/>
                          <w:sz w:val="20"/>
                          <w:szCs w:val="20"/>
                        </w:rPr>
                        <w:t>Phoenix</w:t>
                      </w:r>
                      <w:r w:rsidRPr="005F61A0">
                        <w:rPr>
                          <w:rFonts w:cs="Calibri"/>
                          <w:sz w:val="20"/>
                          <w:szCs w:val="20"/>
                          <w:lang w:val="el-GR"/>
                        </w:rPr>
                        <w:t>-</w:t>
                      </w:r>
                      <w:r w:rsidRPr="005F61A0">
                        <w:rPr>
                          <w:rFonts w:cs="Calibri"/>
                          <w:sz w:val="20"/>
                          <w:szCs w:val="20"/>
                        </w:rPr>
                        <w:t>Vega</w:t>
                      </w:r>
                      <w:r w:rsidRPr="005F61A0">
                        <w:rPr>
                          <w:rFonts w:cs="Calibri"/>
                          <w:sz w:val="20"/>
                          <w:szCs w:val="20"/>
                          <w:lang w:val="el-GR"/>
                        </w:rPr>
                        <w:t xml:space="preserve"> </w:t>
                      </w:r>
                      <w:r>
                        <w:rPr>
                          <w:rFonts w:cs="Calibri"/>
                          <w:sz w:val="20"/>
                          <w:szCs w:val="20"/>
                          <w:lang w:val="el-GR"/>
                        </w:rPr>
                        <w:t xml:space="preserve">ύψους €7 δισ. ολοκληρώθηκαν </w:t>
                      </w:r>
                      <w:r w:rsidRPr="005F61A0">
                        <w:rPr>
                          <w:rFonts w:cs="Calibri"/>
                          <w:sz w:val="20"/>
                          <w:szCs w:val="20"/>
                          <w:lang w:val="el-GR"/>
                        </w:rPr>
                        <w:t>μέσω του προγράμματος</w:t>
                      </w:r>
                      <w:r>
                        <w:rPr>
                          <w:rFonts w:cs="Calibri"/>
                          <w:sz w:val="20"/>
                          <w:szCs w:val="20"/>
                          <w:lang w:val="el-GR"/>
                        </w:rPr>
                        <w:t xml:space="preserve"> </w:t>
                      </w:r>
                      <w:r>
                        <w:rPr>
                          <w:rFonts w:cstheme="minorHAnsi"/>
                          <w:sz w:val="20"/>
                          <w:szCs w:val="20"/>
                          <w:lang w:val="el-GR"/>
                        </w:rPr>
                        <w:t>«</w:t>
                      </w:r>
                      <w:r>
                        <w:rPr>
                          <w:rFonts w:cs="Calibri"/>
                          <w:sz w:val="20"/>
                          <w:szCs w:val="20"/>
                          <w:lang w:val="el-GR"/>
                        </w:rPr>
                        <w:t>Ηρακλής</w:t>
                      </w:r>
                      <w:r>
                        <w:rPr>
                          <w:rFonts w:cstheme="minorHAnsi"/>
                          <w:sz w:val="20"/>
                          <w:szCs w:val="20"/>
                          <w:lang w:val="el-GR"/>
                        </w:rPr>
                        <w:t>»</w:t>
                      </w:r>
                      <w:r>
                        <w:rPr>
                          <w:rFonts w:cs="Calibri"/>
                          <w:sz w:val="20"/>
                          <w:szCs w:val="20"/>
                          <w:lang w:val="el-GR"/>
                        </w:rPr>
                        <w:t xml:space="preserve"> </w:t>
                      </w:r>
                      <w:r w:rsidRPr="005F61A0">
                        <w:rPr>
                          <w:rFonts w:cs="Calibri"/>
                          <w:sz w:val="20"/>
                          <w:szCs w:val="20"/>
                          <w:lang w:val="el-GR"/>
                        </w:rPr>
                        <w:t>το δεύτερο τρίμηνο</w:t>
                      </w:r>
                      <w:r>
                        <w:rPr>
                          <w:rFonts w:cs="Calibri"/>
                          <w:sz w:val="20"/>
                          <w:szCs w:val="20"/>
                          <w:lang w:val="el-GR"/>
                        </w:rPr>
                        <w:t xml:space="preserve">. Η διανομή σε είδος σε </w:t>
                      </w:r>
                      <w:r w:rsidRPr="005F61A0">
                        <w:rPr>
                          <w:rFonts w:cs="Calibri"/>
                          <w:sz w:val="20"/>
                          <w:szCs w:val="20"/>
                          <w:lang w:val="el-GR"/>
                        </w:rPr>
                        <w:t xml:space="preserve">μετόχους </w:t>
                      </w:r>
                      <w:r>
                        <w:rPr>
                          <w:rFonts w:cs="Calibri"/>
                          <w:sz w:val="20"/>
                          <w:szCs w:val="20"/>
                          <w:lang w:val="el-GR"/>
                        </w:rPr>
                        <w:t xml:space="preserve">της Πειραιώς του </w:t>
                      </w:r>
                      <w:r w:rsidRPr="005F61A0">
                        <w:rPr>
                          <w:rFonts w:cs="Calibri"/>
                          <w:sz w:val="20"/>
                          <w:szCs w:val="20"/>
                          <w:lang w:val="el-GR"/>
                        </w:rPr>
                        <w:t xml:space="preserve">65% των </w:t>
                      </w:r>
                      <w:r>
                        <w:rPr>
                          <w:rFonts w:cs="Calibri"/>
                          <w:sz w:val="20"/>
                          <w:szCs w:val="20"/>
                          <w:lang w:val="el-GR"/>
                        </w:rPr>
                        <w:t>τίτλων</w:t>
                      </w:r>
                      <w:r w:rsidRPr="005F61A0">
                        <w:rPr>
                          <w:rFonts w:cs="Calibri"/>
                          <w:sz w:val="20"/>
                          <w:szCs w:val="20"/>
                          <w:lang w:val="el-GR"/>
                        </w:rPr>
                        <w:t xml:space="preserve"> μεσαίας και χαμηλής προεξοφλητικής προτεραιότητας </w:t>
                      </w:r>
                      <w:r>
                        <w:rPr>
                          <w:rFonts w:cs="Calibri"/>
                          <w:sz w:val="20"/>
                          <w:szCs w:val="20"/>
                          <w:lang w:val="el-GR"/>
                        </w:rPr>
                        <w:t xml:space="preserve">αναμένεται να πραγματοποιηθεί </w:t>
                      </w:r>
                      <w:r w:rsidRPr="005F61A0">
                        <w:rPr>
                          <w:rFonts w:cs="Calibri"/>
                          <w:sz w:val="20"/>
                          <w:szCs w:val="20"/>
                          <w:lang w:val="el-GR"/>
                        </w:rPr>
                        <w:t xml:space="preserve">στα μέσα Αυγούστου  </w:t>
                      </w:r>
                    </w:p>
                    <w:p w14:paraId="14EBB8CA" w14:textId="4CD0FA3E" w:rsidR="00EA6E38" w:rsidRPr="00263465" w:rsidRDefault="00EA6E38" w:rsidP="00347470">
                      <w:pPr>
                        <w:pStyle w:val="ListParagraph"/>
                        <w:numPr>
                          <w:ilvl w:val="0"/>
                          <w:numId w:val="38"/>
                        </w:numPr>
                        <w:tabs>
                          <w:tab w:val="left" w:pos="10348"/>
                        </w:tabs>
                        <w:spacing w:after="120" w:line="276" w:lineRule="auto"/>
                        <w:ind w:left="2268" w:right="255" w:hanging="357"/>
                        <w:contextualSpacing w:val="0"/>
                        <w:jc w:val="both"/>
                        <w:rPr>
                          <w:rFonts w:cs="Calibri"/>
                          <w:sz w:val="20"/>
                          <w:szCs w:val="20"/>
                          <w:lang w:val="el-GR"/>
                        </w:rPr>
                      </w:pPr>
                      <w:r>
                        <w:rPr>
                          <w:rFonts w:cs="Calibri"/>
                          <w:sz w:val="20"/>
                          <w:szCs w:val="20"/>
                          <w:lang w:val="el-GR"/>
                        </w:rPr>
                        <w:t>Η</w:t>
                      </w:r>
                      <w:r w:rsidRPr="007D0DBD">
                        <w:rPr>
                          <w:rFonts w:cs="Calibri"/>
                          <w:sz w:val="20"/>
                          <w:szCs w:val="20"/>
                          <w:lang w:val="el-GR"/>
                        </w:rPr>
                        <w:t xml:space="preserve"> </w:t>
                      </w:r>
                      <w:r>
                        <w:rPr>
                          <w:rFonts w:cs="Calibri"/>
                          <w:sz w:val="20"/>
                          <w:szCs w:val="20"/>
                          <w:lang w:val="el-GR"/>
                        </w:rPr>
                        <w:t>συναλλαγή</w:t>
                      </w:r>
                      <w:r w:rsidRPr="007D0DBD">
                        <w:rPr>
                          <w:rFonts w:cs="Calibri"/>
                          <w:sz w:val="20"/>
                          <w:szCs w:val="20"/>
                          <w:lang w:val="el-GR"/>
                        </w:rPr>
                        <w:t xml:space="preserve"> </w:t>
                      </w:r>
                      <w:r>
                        <w:rPr>
                          <w:rFonts w:cs="Calibri"/>
                          <w:sz w:val="20"/>
                          <w:szCs w:val="20"/>
                        </w:rPr>
                        <w:t>NPE</w:t>
                      </w:r>
                      <w:r w:rsidRPr="007D0DBD">
                        <w:rPr>
                          <w:rFonts w:cs="Calibri"/>
                          <w:sz w:val="20"/>
                          <w:szCs w:val="20"/>
                          <w:lang w:val="el-GR"/>
                        </w:rPr>
                        <w:t xml:space="preserve"> </w:t>
                      </w:r>
                      <w:r>
                        <w:rPr>
                          <w:rFonts w:cs="Calibri"/>
                          <w:sz w:val="20"/>
                          <w:szCs w:val="20"/>
                        </w:rPr>
                        <w:t>Sunrise</w:t>
                      </w:r>
                      <w:r w:rsidRPr="007D0DBD">
                        <w:rPr>
                          <w:rFonts w:cs="Calibri"/>
                          <w:sz w:val="20"/>
                          <w:szCs w:val="20"/>
                          <w:lang w:val="el-GR"/>
                        </w:rPr>
                        <w:t xml:space="preserve"> 1 </w:t>
                      </w:r>
                      <w:r>
                        <w:rPr>
                          <w:rFonts w:cs="Calibri"/>
                          <w:sz w:val="20"/>
                          <w:szCs w:val="20"/>
                          <w:lang w:val="el-GR"/>
                        </w:rPr>
                        <w:t>ύψους</w:t>
                      </w:r>
                      <w:r w:rsidRPr="007D0DBD">
                        <w:rPr>
                          <w:rFonts w:cs="Calibri"/>
                          <w:sz w:val="20"/>
                          <w:szCs w:val="20"/>
                          <w:lang w:val="el-GR"/>
                        </w:rPr>
                        <w:t xml:space="preserve"> €7 </w:t>
                      </w:r>
                      <w:r>
                        <w:rPr>
                          <w:rFonts w:cs="Calibri"/>
                          <w:sz w:val="20"/>
                          <w:szCs w:val="20"/>
                          <w:lang w:val="el-GR"/>
                        </w:rPr>
                        <w:t>δισ</w:t>
                      </w:r>
                      <w:r w:rsidRPr="007D0DBD">
                        <w:rPr>
                          <w:rFonts w:cs="Calibri"/>
                          <w:sz w:val="20"/>
                          <w:szCs w:val="20"/>
                          <w:lang w:val="el-GR"/>
                        </w:rPr>
                        <w:t xml:space="preserve">. </w:t>
                      </w:r>
                      <w:r>
                        <w:rPr>
                          <w:rFonts w:cs="Calibri"/>
                          <w:sz w:val="20"/>
                          <w:szCs w:val="20"/>
                          <w:lang w:val="el-GR"/>
                        </w:rPr>
                        <w:t>μέσω</w:t>
                      </w:r>
                      <w:r w:rsidRPr="007D0DBD">
                        <w:rPr>
                          <w:rFonts w:cs="Calibri"/>
                          <w:sz w:val="20"/>
                          <w:szCs w:val="20"/>
                          <w:lang w:val="el-GR"/>
                        </w:rPr>
                        <w:t xml:space="preserve"> </w:t>
                      </w:r>
                      <w:r>
                        <w:rPr>
                          <w:rFonts w:cs="Calibri"/>
                          <w:sz w:val="20"/>
                          <w:szCs w:val="20"/>
                          <w:lang w:val="el-GR"/>
                        </w:rPr>
                        <w:t>του</w:t>
                      </w:r>
                      <w:r w:rsidRPr="007D0DBD">
                        <w:rPr>
                          <w:rFonts w:cs="Calibri"/>
                          <w:sz w:val="20"/>
                          <w:szCs w:val="20"/>
                          <w:lang w:val="el-GR"/>
                        </w:rPr>
                        <w:t xml:space="preserve"> </w:t>
                      </w:r>
                      <w:r>
                        <w:rPr>
                          <w:rFonts w:cs="Calibri"/>
                          <w:sz w:val="20"/>
                          <w:szCs w:val="20"/>
                          <w:lang w:val="el-GR"/>
                        </w:rPr>
                        <w:t>προγράμματος</w:t>
                      </w:r>
                      <w:r w:rsidRPr="007D0DBD">
                        <w:rPr>
                          <w:rFonts w:cs="Calibri"/>
                          <w:sz w:val="20"/>
                          <w:szCs w:val="20"/>
                          <w:lang w:val="el-GR"/>
                        </w:rPr>
                        <w:t xml:space="preserve"> </w:t>
                      </w:r>
                      <w:r>
                        <w:rPr>
                          <w:rFonts w:cstheme="minorHAnsi"/>
                          <w:sz w:val="20"/>
                          <w:szCs w:val="20"/>
                          <w:lang w:val="el-GR"/>
                        </w:rPr>
                        <w:t>«</w:t>
                      </w:r>
                      <w:r>
                        <w:rPr>
                          <w:rFonts w:cs="Calibri"/>
                          <w:sz w:val="20"/>
                          <w:szCs w:val="20"/>
                          <w:lang w:val="el-GR"/>
                        </w:rPr>
                        <w:t>Ηρακλής</w:t>
                      </w:r>
                      <w:r>
                        <w:rPr>
                          <w:rFonts w:cstheme="minorHAnsi"/>
                          <w:sz w:val="20"/>
                          <w:szCs w:val="20"/>
                          <w:lang w:val="el-GR"/>
                        </w:rPr>
                        <w:t>»</w:t>
                      </w:r>
                      <w:r>
                        <w:rPr>
                          <w:rFonts w:cs="Calibri"/>
                          <w:sz w:val="20"/>
                          <w:szCs w:val="20"/>
                          <w:lang w:val="el-GR"/>
                        </w:rPr>
                        <w:t xml:space="preserve"> υπογράφηκε</w:t>
                      </w:r>
                      <w:r w:rsidRPr="007D0DBD">
                        <w:rPr>
                          <w:rFonts w:cs="Calibri"/>
                          <w:sz w:val="20"/>
                          <w:szCs w:val="20"/>
                          <w:lang w:val="el-GR"/>
                        </w:rPr>
                        <w:t xml:space="preserve"> </w:t>
                      </w:r>
                      <w:r>
                        <w:rPr>
                          <w:rFonts w:cs="Calibri"/>
                          <w:sz w:val="20"/>
                          <w:szCs w:val="20"/>
                          <w:lang w:val="el-GR"/>
                        </w:rPr>
                        <w:t>και</w:t>
                      </w:r>
                      <w:r w:rsidRPr="007D0DBD">
                        <w:rPr>
                          <w:rFonts w:cs="Calibri"/>
                          <w:sz w:val="20"/>
                          <w:szCs w:val="20"/>
                          <w:lang w:val="el-GR"/>
                        </w:rPr>
                        <w:t xml:space="preserve"> </w:t>
                      </w:r>
                      <w:r>
                        <w:rPr>
                          <w:rFonts w:cs="Calibri"/>
                          <w:sz w:val="20"/>
                          <w:szCs w:val="20"/>
                          <w:lang w:val="el-GR"/>
                        </w:rPr>
                        <w:t>ταξινομήθηκε</w:t>
                      </w:r>
                      <w:r w:rsidRPr="007D0DBD">
                        <w:rPr>
                          <w:rFonts w:cs="Calibri"/>
                          <w:sz w:val="20"/>
                          <w:szCs w:val="20"/>
                          <w:lang w:val="el-GR"/>
                        </w:rPr>
                        <w:t xml:space="preserve"> </w:t>
                      </w:r>
                      <w:r>
                        <w:rPr>
                          <w:rFonts w:cs="Calibri"/>
                          <w:sz w:val="20"/>
                          <w:szCs w:val="20"/>
                          <w:lang w:val="el-GR"/>
                        </w:rPr>
                        <w:t xml:space="preserve">ως </w:t>
                      </w:r>
                      <w:proofErr w:type="spellStart"/>
                      <w:r>
                        <w:rPr>
                          <w:rFonts w:cs="Calibri"/>
                          <w:sz w:val="20"/>
                          <w:szCs w:val="20"/>
                          <w:lang w:val="el-GR"/>
                        </w:rPr>
                        <w:t>διακρατούμενο</w:t>
                      </w:r>
                      <w:proofErr w:type="spellEnd"/>
                      <w:r>
                        <w:rPr>
                          <w:rFonts w:cs="Calibri"/>
                          <w:sz w:val="20"/>
                          <w:szCs w:val="20"/>
                          <w:lang w:val="el-GR"/>
                        </w:rPr>
                        <w:t xml:space="preserve"> στοιχείο προς πώληση το δεύτερο τρίμηνο. Η</w:t>
                      </w:r>
                      <w:r w:rsidRPr="00263465">
                        <w:rPr>
                          <w:rFonts w:cs="Calibri"/>
                          <w:sz w:val="20"/>
                          <w:szCs w:val="20"/>
                          <w:lang w:val="el-GR"/>
                        </w:rPr>
                        <w:t xml:space="preserve"> </w:t>
                      </w:r>
                      <w:r>
                        <w:rPr>
                          <w:rFonts w:cs="Calibri"/>
                          <w:sz w:val="20"/>
                          <w:szCs w:val="20"/>
                          <w:lang w:val="el-GR"/>
                        </w:rPr>
                        <w:t>συναλλαγή</w:t>
                      </w:r>
                      <w:r w:rsidRPr="00263465">
                        <w:rPr>
                          <w:rFonts w:cs="Calibri"/>
                          <w:sz w:val="20"/>
                          <w:szCs w:val="20"/>
                          <w:lang w:val="el-GR"/>
                        </w:rPr>
                        <w:t xml:space="preserve"> </w:t>
                      </w:r>
                      <w:r>
                        <w:rPr>
                          <w:rFonts w:cs="Calibri"/>
                          <w:sz w:val="20"/>
                          <w:szCs w:val="20"/>
                          <w:lang w:val="el-GR"/>
                        </w:rPr>
                        <w:t>ολοκληρώνεται σε χρόνο-ρεκόρ</w:t>
                      </w:r>
                      <w:r w:rsidRPr="00263465">
                        <w:rPr>
                          <w:rFonts w:cs="Calibri"/>
                          <w:sz w:val="20"/>
                          <w:szCs w:val="20"/>
                          <w:lang w:val="el-GR"/>
                        </w:rPr>
                        <w:t xml:space="preserve"> </w:t>
                      </w:r>
                    </w:p>
                    <w:p w14:paraId="321CCDB6" w14:textId="7539FCB7" w:rsidR="00EA6E38" w:rsidRPr="00F32623" w:rsidRDefault="00EA6E38" w:rsidP="00347470">
                      <w:pPr>
                        <w:pStyle w:val="ListParagraph"/>
                        <w:numPr>
                          <w:ilvl w:val="0"/>
                          <w:numId w:val="38"/>
                        </w:numPr>
                        <w:tabs>
                          <w:tab w:val="left" w:pos="10348"/>
                        </w:tabs>
                        <w:spacing w:after="120" w:line="276" w:lineRule="auto"/>
                        <w:ind w:left="2268" w:right="255" w:hanging="357"/>
                        <w:contextualSpacing w:val="0"/>
                        <w:jc w:val="both"/>
                        <w:rPr>
                          <w:rFonts w:cs="Calibri"/>
                          <w:sz w:val="20"/>
                          <w:szCs w:val="20"/>
                          <w:lang w:val="el-GR"/>
                        </w:rPr>
                      </w:pPr>
                      <w:r>
                        <w:rPr>
                          <w:rFonts w:cs="Calibri"/>
                          <w:sz w:val="20"/>
                          <w:szCs w:val="20"/>
                          <w:lang w:val="el-GR"/>
                        </w:rPr>
                        <w:t>Η</w:t>
                      </w:r>
                      <w:r w:rsidRPr="00F32623">
                        <w:rPr>
                          <w:rFonts w:cs="Calibri"/>
                          <w:sz w:val="20"/>
                          <w:szCs w:val="20"/>
                          <w:lang w:val="el-GR"/>
                        </w:rPr>
                        <w:t xml:space="preserve"> </w:t>
                      </w:r>
                      <w:r>
                        <w:rPr>
                          <w:rFonts w:cs="Calibri"/>
                          <w:sz w:val="20"/>
                          <w:szCs w:val="20"/>
                          <w:lang w:val="el-GR"/>
                        </w:rPr>
                        <w:t>συναλλαγή</w:t>
                      </w:r>
                      <w:r w:rsidRPr="00F32623">
                        <w:rPr>
                          <w:rFonts w:cs="Calibri"/>
                          <w:sz w:val="20"/>
                          <w:szCs w:val="20"/>
                          <w:lang w:val="el-GR"/>
                        </w:rPr>
                        <w:t xml:space="preserve"> </w:t>
                      </w:r>
                      <w:r>
                        <w:rPr>
                          <w:rFonts w:cs="Calibri"/>
                          <w:sz w:val="20"/>
                          <w:szCs w:val="20"/>
                        </w:rPr>
                        <w:t>NPE</w:t>
                      </w:r>
                      <w:r w:rsidRPr="00347470">
                        <w:rPr>
                          <w:rFonts w:cs="Calibri"/>
                          <w:sz w:val="20"/>
                          <w:szCs w:val="20"/>
                          <w:lang w:val="el-GR"/>
                        </w:rPr>
                        <w:t xml:space="preserve"> </w:t>
                      </w:r>
                      <w:r>
                        <w:rPr>
                          <w:rFonts w:cs="Calibri"/>
                          <w:sz w:val="20"/>
                          <w:szCs w:val="20"/>
                        </w:rPr>
                        <w:t>Sunrise</w:t>
                      </w:r>
                      <w:r w:rsidRPr="00F32623">
                        <w:rPr>
                          <w:rFonts w:cs="Calibri"/>
                          <w:sz w:val="20"/>
                          <w:szCs w:val="20"/>
                          <w:lang w:val="el-GR"/>
                        </w:rPr>
                        <w:t xml:space="preserve"> 2 </w:t>
                      </w:r>
                      <w:r>
                        <w:rPr>
                          <w:rFonts w:cs="Calibri"/>
                          <w:sz w:val="20"/>
                          <w:szCs w:val="20"/>
                          <w:lang w:val="el-GR"/>
                        </w:rPr>
                        <w:t>ύψους</w:t>
                      </w:r>
                      <w:r w:rsidRPr="00F32623">
                        <w:rPr>
                          <w:rFonts w:cs="Calibri"/>
                          <w:sz w:val="20"/>
                          <w:szCs w:val="20"/>
                          <w:lang w:val="el-GR"/>
                        </w:rPr>
                        <w:t xml:space="preserve"> €3 </w:t>
                      </w:r>
                      <w:r>
                        <w:rPr>
                          <w:rFonts w:cs="Calibri"/>
                          <w:sz w:val="20"/>
                          <w:szCs w:val="20"/>
                          <w:lang w:val="el-GR"/>
                        </w:rPr>
                        <w:t>δισ</w:t>
                      </w:r>
                      <w:r w:rsidRPr="00F32623">
                        <w:rPr>
                          <w:rFonts w:cs="Calibri"/>
                          <w:sz w:val="20"/>
                          <w:szCs w:val="20"/>
                          <w:lang w:val="el-GR"/>
                        </w:rPr>
                        <w:t xml:space="preserve">. </w:t>
                      </w:r>
                      <w:r>
                        <w:rPr>
                          <w:rFonts w:cs="Calibri"/>
                          <w:sz w:val="20"/>
                          <w:szCs w:val="20"/>
                          <w:lang w:val="el-GR"/>
                        </w:rPr>
                        <w:t>έλαβε πιστοληπτική διαβάθμιση</w:t>
                      </w:r>
                      <w:r w:rsidRPr="00F32623">
                        <w:rPr>
                          <w:rFonts w:cs="Calibri"/>
                          <w:sz w:val="20"/>
                          <w:szCs w:val="20"/>
                          <w:lang w:val="el-GR"/>
                        </w:rPr>
                        <w:t xml:space="preserve">, </w:t>
                      </w:r>
                      <w:r>
                        <w:rPr>
                          <w:rFonts w:cs="Calibri"/>
                          <w:sz w:val="20"/>
                          <w:szCs w:val="20"/>
                          <w:lang w:val="el-GR"/>
                        </w:rPr>
                        <w:t>ενώ</w:t>
                      </w:r>
                      <w:r w:rsidRPr="00F32623">
                        <w:rPr>
                          <w:rFonts w:cs="Calibri"/>
                          <w:sz w:val="20"/>
                          <w:szCs w:val="20"/>
                          <w:lang w:val="el-GR"/>
                        </w:rPr>
                        <w:t xml:space="preserve"> </w:t>
                      </w:r>
                      <w:r>
                        <w:rPr>
                          <w:rFonts w:cs="Calibri"/>
                          <w:sz w:val="20"/>
                          <w:szCs w:val="20"/>
                          <w:lang w:val="el-GR"/>
                        </w:rPr>
                        <w:t xml:space="preserve">επίκειται η αίτηση για ένταξη στο πρόγραμμα </w:t>
                      </w:r>
                      <w:r>
                        <w:rPr>
                          <w:rFonts w:cstheme="minorHAnsi"/>
                          <w:sz w:val="20"/>
                          <w:szCs w:val="20"/>
                          <w:lang w:val="el-GR"/>
                        </w:rPr>
                        <w:t>«</w:t>
                      </w:r>
                      <w:r>
                        <w:rPr>
                          <w:rFonts w:cs="Calibri"/>
                          <w:sz w:val="20"/>
                          <w:szCs w:val="20"/>
                          <w:lang w:val="el-GR"/>
                        </w:rPr>
                        <w:t>Ηρακλής</w:t>
                      </w:r>
                      <w:r>
                        <w:rPr>
                          <w:rFonts w:cstheme="minorHAnsi"/>
                          <w:sz w:val="20"/>
                          <w:szCs w:val="20"/>
                          <w:lang w:val="el-GR"/>
                        </w:rPr>
                        <w:t>»</w:t>
                      </w:r>
                    </w:p>
                    <w:p w14:paraId="160C9F07" w14:textId="77777777" w:rsidR="00EA6E38" w:rsidRPr="00CB4268" w:rsidRDefault="00EA6E38" w:rsidP="00347470">
                      <w:pPr>
                        <w:pStyle w:val="ListParagraph"/>
                        <w:numPr>
                          <w:ilvl w:val="0"/>
                          <w:numId w:val="38"/>
                        </w:numPr>
                        <w:tabs>
                          <w:tab w:val="left" w:pos="10348"/>
                        </w:tabs>
                        <w:spacing w:after="120" w:line="276" w:lineRule="auto"/>
                        <w:ind w:left="2268" w:right="255" w:hanging="357"/>
                        <w:contextualSpacing w:val="0"/>
                        <w:jc w:val="both"/>
                        <w:rPr>
                          <w:rFonts w:cs="Calibri"/>
                          <w:sz w:val="20"/>
                          <w:szCs w:val="20"/>
                          <w:lang w:val="el-GR"/>
                        </w:rPr>
                      </w:pPr>
                      <w:r w:rsidRPr="00660104">
                        <w:rPr>
                          <w:rFonts w:cs="Calibri"/>
                          <w:sz w:val="20"/>
                          <w:szCs w:val="20"/>
                          <w:lang w:val="el-GR"/>
                        </w:rPr>
                        <w:t xml:space="preserve">€0,4 </w:t>
                      </w:r>
                      <w:r>
                        <w:rPr>
                          <w:rFonts w:cs="Calibri"/>
                          <w:sz w:val="20"/>
                          <w:szCs w:val="20"/>
                          <w:lang w:val="el-GR"/>
                        </w:rPr>
                        <w:t>δισ</w:t>
                      </w:r>
                      <w:r w:rsidRPr="00660104">
                        <w:rPr>
                          <w:rFonts w:cs="Calibri"/>
                          <w:sz w:val="20"/>
                          <w:szCs w:val="20"/>
                          <w:lang w:val="el-GR"/>
                        </w:rPr>
                        <w:t xml:space="preserve">. </w:t>
                      </w:r>
                      <w:r>
                        <w:rPr>
                          <w:rFonts w:cs="Calibri"/>
                          <w:sz w:val="20"/>
                          <w:szCs w:val="20"/>
                          <w:lang w:val="el-GR"/>
                        </w:rPr>
                        <w:t xml:space="preserve">επαναλαμβανόμενο αποτέλεσμα προ φόρων το πρώτο εξάμηνο </w:t>
                      </w:r>
                    </w:p>
                    <w:p w14:paraId="7D3D9632" w14:textId="77777777" w:rsidR="00EA6E38" w:rsidRPr="00660104" w:rsidRDefault="00EA6E38" w:rsidP="00347470">
                      <w:pPr>
                        <w:pStyle w:val="ListParagraph"/>
                        <w:numPr>
                          <w:ilvl w:val="0"/>
                          <w:numId w:val="38"/>
                        </w:numPr>
                        <w:tabs>
                          <w:tab w:val="left" w:pos="10348"/>
                        </w:tabs>
                        <w:spacing w:after="120" w:line="276" w:lineRule="auto"/>
                        <w:ind w:left="2268" w:right="255" w:hanging="357"/>
                        <w:contextualSpacing w:val="0"/>
                        <w:jc w:val="both"/>
                        <w:rPr>
                          <w:rFonts w:cs="Calibri"/>
                          <w:sz w:val="20"/>
                          <w:szCs w:val="20"/>
                          <w:lang w:val="el-GR"/>
                        </w:rPr>
                      </w:pPr>
                      <w:r w:rsidRPr="00660104">
                        <w:rPr>
                          <w:rFonts w:cs="Calibri"/>
                          <w:sz w:val="20"/>
                          <w:szCs w:val="20"/>
                          <w:lang w:val="el-GR"/>
                        </w:rPr>
                        <w:t xml:space="preserve">Καθαρά έσοδα προμηθειών στα €101 εκατ. </w:t>
                      </w:r>
                      <w:r>
                        <w:rPr>
                          <w:rFonts w:cs="Calibri"/>
                          <w:sz w:val="20"/>
                          <w:szCs w:val="20"/>
                          <w:lang w:val="el-GR"/>
                        </w:rPr>
                        <w:t>το δεύτερο τρίμηνο</w:t>
                      </w:r>
                      <w:r w:rsidRPr="00660104">
                        <w:rPr>
                          <w:rFonts w:cs="Calibri"/>
                          <w:sz w:val="20"/>
                          <w:szCs w:val="20"/>
                          <w:lang w:val="el-GR"/>
                        </w:rPr>
                        <w:t xml:space="preserve"> </w:t>
                      </w:r>
                      <w:r>
                        <w:rPr>
                          <w:rFonts w:cs="Calibri"/>
                          <w:sz w:val="20"/>
                          <w:szCs w:val="20"/>
                          <w:lang w:val="el-GR"/>
                        </w:rPr>
                        <w:t>-</w:t>
                      </w:r>
                      <w:r w:rsidRPr="00660104">
                        <w:rPr>
                          <w:rFonts w:cs="Calibri"/>
                          <w:sz w:val="20"/>
                          <w:szCs w:val="20"/>
                          <w:lang w:val="el-GR"/>
                        </w:rPr>
                        <w:t xml:space="preserve"> το </w:t>
                      </w:r>
                      <w:r>
                        <w:rPr>
                          <w:rFonts w:cs="Calibri"/>
                          <w:sz w:val="20"/>
                          <w:szCs w:val="20"/>
                          <w:lang w:val="el-GR"/>
                        </w:rPr>
                        <w:t xml:space="preserve">καλύτερο ιστορικά τρίμηνο της Πειραιώς </w:t>
                      </w:r>
                      <w:r w:rsidRPr="00660104">
                        <w:rPr>
                          <w:rFonts w:cs="Calibri"/>
                          <w:sz w:val="20"/>
                          <w:szCs w:val="20"/>
                          <w:lang w:val="el-GR"/>
                        </w:rPr>
                        <w:t xml:space="preserve"> </w:t>
                      </w:r>
                    </w:p>
                    <w:p w14:paraId="3EB80762" w14:textId="6EC23865" w:rsidR="00EA6E38" w:rsidRPr="00660104" w:rsidRDefault="00EA6E38" w:rsidP="00347470">
                      <w:pPr>
                        <w:pStyle w:val="ListParagraph"/>
                        <w:numPr>
                          <w:ilvl w:val="0"/>
                          <w:numId w:val="38"/>
                        </w:numPr>
                        <w:tabs>
                          <w:tab w:val="left" w:pos="10348"/>
                        </w:tabs>
                        <w:spacing w:after="120" w:line="276" w:lineRule="auto"/>
                        <w:ind w:left="2268" w:right="255" w:hanging="357"/>
                        <w:contextualSpacing w:val="0"/>
                        <w:jc w:val="both"/>
                        <w:rPr>
                          <w:rFonts w:cs="Calibri"/>
                          <w:sz w:val="20"/>
                          <w:szCs w:val="20"/>
                          <w:lang w:val="el-GR"/>
                        </w:rPr>
                      </w:pPr>
                      <w:r>
                        <w:rPr>
                          <w:rFonts w:cs="Calibri"/>
                          <w:sz w:val="20"/>
                          <w:szCs w:val="20"/>
                          <w:lang w:val="el-GR"/>
                        </w:rPr>
                        <w:t>Εκταμιεύσεις</w:t>
                      </w:r>
                      <w:r w:rsidRPr="00660104">
                        <w:rPr>
                          <w:rFonts w:cs="Calibri"/>
                          <w:sz w:val="20"/>
                          <w:szCs w:val="20"/>
                          <w:lang w:val="el-GR"/>
                        </w:rPr>
                        <w:t xml:space="preserve"> </w:t>
                      </w:r>
                      <w:r>
                        <w:rPr>
                          <w:rFonts w:cs="Calibri"/>
                          <w:sz w:val="20"/>
                          <w:szCs w:val="20"/>
                          <w:lang w:val="el-GR"/>
                        </w:rPr>
                        <w:t>δανείων</w:t>
                      </w:r>
                      <w:r w:rsidRPr="00660104">
                        <w:rPr>
                          <w:rFonts w:cs="Calibri"/>
                          <w:sz w:val="20"/>
                          <w:szCs w:val="20"/>
                          <w:lang w:val="el-GR"/>
                        </w:rPr>
                        <w:t xml:space="preserve"> </w:t>
                      </w:r>
                      <w:r>
                        <w:rPr>
                          <w:rFonts w:cs="Calibri"/>
                          <w:sz w:val="20"/>
                          <w:szCs w:val="20"/>
                          <w:lang w:val="el-GR"/>
                        </w:rPr>
                        <w:t>ύψους</w:t>
                      </w:r>
                      <w:r w:rsidRPr="00660104">
                        <w:rPr>
                          <w:rFonts w:cs="Calibri"/>
                          <w:sz w:val="20"/>
                          <w:szCs w:val="20"/>
                          <w:lang w:val="el-GR"/>
                        </w:rPr>
                        <w:t xml:space="preserve"> €1,8 </w:t>
                      </w:r>
                      <w:r>
                        <w:rPr>
                          <w:rFonts w:cs="Calibri"/>
                          <w:sz w:val="20"/>
                          <w:szCs w:val="20"/>
                          <w:lang w:val="el-GR"/>
                        </w:rPr>
                        <w:t>δισ</w:t>
                      </w:r>
                      <w:r w:rsidRPr="00660104">
                        <w:rPr>
                          <w:rFonts w:cs="Calibri"/>
                          <w:sz w:val="20"/>
                          <w:szCs w:val="20"/>
                          <w:lang w:val="el-GR"/>
                        </w:rPr>
                        <w:t xml:space="preserve">. </w:t>
                      </w:r>
                      <w:r>
                        <w:rPr>
                          <w:rFonts w:cs="Calibri"/>
                          <w:sz w:val="20"/>
                          <w:szCs w:val="20"/>
                          <w:lang w:val="el-GR"/>
                        </w:rPr>
                        <w:t>το δεύτερο τρίμηνο</w:t>
                      </w:r>
                      <w:r w:rsidRPr="00660104">
                        <w:rPr>
                          <w:rFonts w:cs="Calibri"/>
                          <w:sz w:val="20"/>
                          <w:szCs w:val="20"/>
                          <w:lang w:val="el-GR"/>
                        </w:rPr>
                        <w:t xml:space="preserve"> </w:t>
                      </w:r>
                      <w:r>
                        <w:rPr>
                          <w:rFonts w:cs="Calibri"/>
                          <w:sz w:val="20"/>
                          <w:szCs w:val="20"/>
                          <w:lang w:val="el-GR"/>
                        </w:rPr>
                        <w:t>-</w:t>
                      </w:r>
                      <w:r w:rsidRPr="00660104">
                        <w:rPr>
                          <w:rFonts w:cs="Calibri"/>
                          <w:sz w:val="20"/>
                          <w:szCs w:val="20"/>
                          <w:lang w:val="el-GR"/>
                        </w:rPr>
                        <w:t xml:space="preserve"> το </w:t>
                      </w:r>
                      <w:r>
                        <w:rPr>
                          <w:rFonts w:cs="Calibri"/>
                          <w:sz w:val="20"/>
                          <w:szCs w:val="20"/>
                          <w:lang w:val="el-GR"/>
                        </w:rPr>
                        <w:t xml:space="preserve">καλύτερο ιστορικά τρίμηνο της Πειραιώς </w:t>
                      </w:r>
                      <w:r w:rsidRPr="00660104">
                        <w:rPr>
                          <w:rFonts w:cs="Calibri"/>
                          <w:sz w:val="20"/>
                          <w:szCs w:val="20"/>
                          <w:lang w:val="el-GR"/>
                        </w:rPr>
                        <w:t xml:space="preserve"> </w:t>
                      </w:r>
                    </w:p>
                    <w:p w14:paraId="350000F6" w14:textId="356C9A63" w:rsidR="00EA6E38" w:rsidRPr="00084CF0" w:rsidRDefault="00EA6E38" w:rsidP="00347470">
                      <w:pPr>
                        <w:pStyle w:val="ListParagraph"/>
                        <w:numPr>
                          <w:ilvl w:val="0"/>
                          <w:numId w:val="38"/>
                        </w:numPr>
                        <w:tabs>
                          <w:tab w:val="left" w:pos="10348"/>
                        </w:tabs>
                        <w:spacing w:after="120" w:line="276" w:lineRule="auto"/>
                        <w:ind w:left="2268" w:right="255" w:hanging="357"/>
                        <w:contextualSpacing w:val="0"/>
                        <w:jc w:val="both"/>
                        <w:rPr>
                          <w:rFonts w:cs="Calibri"/>
                          <w:sz w:val="20"/>
                          <w:szCs w:val="20"/>
                          <w:lang w:val="el-GR"/>
                        </w:rPr>
                      </w:pPr>
                      <w:r w:rsidRPr="00084CF0">
                        <w:rPr>
                          <w:rFonts w:cs="Calibri"/>
                          <w:sz w:val="20"/>
                          <w:szCs w:val="20"/>
                          <w:lang w:val="el-GR"/>
                        </w:rPr>
                        <w:t xml:space="preserve">Οργανικό έξοδο προβλέψεων </w:t>
                      </w:r>
                      <w:proofErr w:type="spellStart"/>
                      <w:r w:rsidRPr="00084CF0">
                        <w:rPr>
                          <w:rFonts w:cs="Calibri"/>
                          <w:sz w:val="20"/>
                          <w:szCs w:val="20"/>
                          <w:lang w:val="el-GR"/>
                        </w:rPr>
                        <w:t>στ</w:t>
                      </w:r>
                      <w:proofErr w:type="spellEnd"/>
                      <w:r w:rsidRPr="00084CF0">
                        <w:rPr>
                          <w:rFonts w:cs="Calibri"/>
                          <w:sz w:val="20"/>
                          <w:szCs w:val="20"/>
                        </w:rPr>
                        <w:t>o</w:t>
                      </w:r>
                      <w:r w:rsidRPr="00084CF0">
                        <w:rPr>
                          <w:rFonts w:cs="Calibri"/>
                          <w:sz w:val="20"/>
                          <w:szCs w:val="20"/>
                          <w:lang w:val="el-GR"/>
                        </w:rPr>
                        <w:t xml:space="preserve"> 1,</w:t>
                      </w:r>
                      <w:r>
                        <w:rPr>
                          <w:rFonts w:cs="Calibri"/>
                          <w:sz w:val="20"/>
                          <w:szCs w:val="20"/>
                          <w:lang w:val="el-GR"/>
                        </w:rPr>
                        <w:t xml:space="preserve">1%, επί των δανείων μετά από προβλέψεις, </w:t>
                      </w:r>
                      <w:r w:rsidRPr="00084CF0">
                        <w:rPr>
                          <w:rFonts w:cs="Calibri"/>
                          <w:sz w:val="20"/>
                          <w:szCs w:val="20"/>
                          <w:lang w:val="el-GR"/>
                        </w:rPr>
                        <w:t xml:space="preserve">ήδη </w:t>
                      </w:r>
                      <w:r>
                        <w:rPr>
                          <w:rFonts w:cs="Calibri"/>
                          <w:sz w:val="20"/>
                          <w:szCs w:val="20"/>
                          <w:lang w:val="el-GR"/>
                        </w:rPr>
                        <w:t xml:space="preserve">στο επίπεδο </w:t>
                      </w:r>
                      <w:r w:rsidRPr="00084CF0">
                        <w:rPr>
                          <w:rFonts w:cs="Calibri"/>
                          <w:sz w:val="20"/>
                          <w:szCs w:val="20"/>
                          <w:lang w:val="el-GR"/>
                        </w:rPr>
                        <w:t>τη</w:t>
                      </w:r>
                      <w:r>
                        <w:rPr>
                          <w:rFonts w:cs="Calibri"/>
                          <w:sz w:val="20"/>
                          <w:szCs w:val="20"/>
                          <w:lang w:val="el-GR"/>
                        </w:rPr>
                        <w:t>ς</w:t>
                      </w:r>
                      <w:r w:rsidRPr="00084CF0">
                        <w:rPr>
                          <w:rFonts w:cs="Calibri"/>
                          <w:sz w:val="20"/>
                          <w:szCs w:val="20"/>
                          <w:lang w:val="el-GR"/>
                        </w:rPr>
                        <w:t xml:space="preserve"> </w:t>
                      </w:r>
                      <w:r>
                        <w:rPr>
                          <w:rFonts w:cs="Calibri"/>
                          <w:sz w:val="20"/>
                          <w:szCs w:val="20"/>
                          <w:lang w:val="el-GR"/>
                        </w:rPr>
                        <w:t xml:space="preserve">αντίστοιχης </w:t>
                      </w:r>
                      <w:r w:rsidRPr="00084CF0">
                        <w:rPr>
                          <w:rFonts w:cs="Calibri"/>
                          <w:sz w:val="20"/>
                          <w:szCs w:val="20"/>
                          <w:lang w:val="el-GR"/>
                        </w:rPr>
                        <w:t>βραχυπρόθεσμη</w:t>
                      </w:r>
                      <w:r>
                        <w:rPr>
                          <w:rFonts w:cs="Calibri"/>
                          <w:sz w:val="20"/>
                          <w:szCs w:val="20"/>
                          <w:lang w:val="el-GR"/>
                        </w:rPr>
                        <w:t>ς</w:t>
                      </w:r>
                      <w:r w:rsidRPr="00084CF0">
                        <w:rPr>
                          <w:rFonts w:cs="Calibri"/>
                          <w:sz w:val="20"/>
                          <w:szCs w:val="20"/>
                          <w:lang w:val="el-GR"/>
                        </w:rPr>
                        <w:t xml:space="preserve"> επιδίωξη</w:t>
                      </w:r>
                      <w:r>
                        <w:rPr>
                          <w:rFonts w:cs="Calibri"/>
                          <w:sz w:val="20"/>
                          <w:szCs w:val="20"/>
                          <w:lang w:val="el-GR"/>
                        </w:rPr>
                        <w:t>ς του Ομίλου</w:t>
                      </w:r>
                    </w:p>
                    <w:p w14:paraId="5C31A659" w14:textId="77777777" w:rsidR="00EA6E38" w:rsidRPr="00084CF0" w:rsidRDefault="00EA6E38" w:rsidP="00265ADC">
                      <w:pPr>
                        <w:pStyle w:val="ListParagraph"/>
                        <w:tabs>
                          <w:tab w:val="left" w:pos="10348"/>
                        </w:tabs>
                        <w:spacing w:line="264" w:lineRule="auto"/>
                        <w:ind w:left="2835" w:right="57"/>
                        <w:jc w:val="both"/>
                        <w:rPr>
                          <w:rFonts w:cs="Calibri"/>
                          <w:sz w:val="20"/>
                          <w:szCs w:val="20"/>
                          <w:lang w:val="el-GR"/>
                        </w:rPr>
                      </w:pPr>
                    </w:p>
                  </w:txbxContent>
                </v:textbox>
                <w10:wrap type="tight" anchorx="page"/>
              </v:rect>
            </w:pict>
          </mc:Fallback>
        </mc:AlternateContent>
      </w:r>
    </w:p>
    <w:p w14:paraId="401DCE30" w14:textId="0A39A542" w:rsidR="00265ADC" w:rsidRDefault="00265ADC">
      <w:pPr>
        <w:rPr>
          <w:rFonts w:eastAsia="Times New Roman" w:cs="Calibri"/>
          <w:b/>
          <w:color w:val="6691AB"/>
          <w:sz w:val="28"/>
          <w:szCs w:val="28"/>
        </w:rPr>
      </w:pPr>
      <w:r>
        <w:rPr>
          <w:rFonts w:eastAsia="Times New Roman" w:cs="Calibri"/>
          <w:b/>
          <w:color w:val="6691AB"/>
          <w:sz w:val="28"/>
          <w:szCs w:val="28"/>
        </w:rPr>
        <w:br w:type="page"/>
      </w:r>
    </w:p>
    <w:p w14:paraId="362A380B" w14:textId="081F9EDA" w:rsidR="00AE4B81" w:rsidRDefault="00AE4B81" w:rsidP="00B82093">
      <w:pPr>
        <w:tabs>
          <w:tab w:val="left" w:pos="5040"/>
        </w:tabs>
        <w:spacing w:before="240"/>
        <w:ind w:left="-720" w:right="-7"/>
        <w:jc w:val="right"/>
        <w:rPr>
          <w:rFonts w:eastAsia="Times New Roman" w:cs="Calibri"/>
          <w:b/>
          <w:color w:val="6691AB"/>
          <w:sz w:val="28"/>
          <w:szCs w:val="28"/>
        </w:rPr>
      </w:pPr>
      <w:r w:rsidRPr="007A419D">
        <w:rPr>
          <w:rFonts w:eastAsia="Times New Roman" w:cs="Calibri"/>
          <w:b/>
          <w:noProof/>
          <w:color w:val="FF0000"/>
          <w:sz w:val="28"/>
          <w:szCs w:val="28"/>
          <w:lang w:eastAsia="el-GR"/>
        </w:rPr>
        <w:lastRenderedPageBreak/>
        <mc:AlternateContent>
          <mc:Choice Requires="wps">
            <w:drawing>
              <wp:anchor distT="0" distB="0" distL="114300" distR="114300" simplePos="0" relativeHeight="251699200" behindDoc="1" locked="0" layoutInCell="1" allowOverlap="1" wp14:anchorId="1E64BD79" wp14:editId="53307999">
                <wp:simplePos x="0" y="0"/>
                <wp:positionH relativeFrom="page">
                  <wp:align>left</wp:align>
                </wp:positionH>
                <wp:positionV relativeFrom="paragraph">
                  <wp:posOffset>120650</wp:posOffset>
                </wp:positionV>
                <wp:extent cx="6878320" cy="7942580"/>
                <wp:effectExtent l="0" t="0" r="0" b="1270"/>
                <wp:wrapTight wrapText="bothSides">
                  <wp:wrapPolygon edited="0">
                    <wp:start x="0" y="0"/>
                    <wp:lineTo x="0" y="21552"/>
                    <wp:lineTo x="21536" y="21552"/>
                    <wp:lineTo x="21536" y="0"/>
                    <wp:lineTo x="0" y="0"/>
                  </wp:wrapPolygon>
                </wp:wrapTight>
                <wp:docPr id="1"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78320" cy="7942580"/>
                        </a:xfrm>
                        <a:prstGeom prst="rect">
                          <a:avLst/>
                        </a:prstGeom>
                        <a:solidFill>
                          <a:srgbClr val="E6E6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DA02F" w14:textId="77777777" w:rsidR="00EA6E38" w:rsidRPr="00514A7C" w:rsidRDefault="00EA6E38" w:rsidP="00AE4B81">
                            <w:pPr>
                              <w:pStyle w:val="ListParagraph"/>
                              <w:tabs>
                                <w:tab w:val="left" w:pos="5040"/>
                                <w:tab w:val="left" w:pos="10348"/>
                              </w:tabs>
                              <w:spacing w:after="120"/>
                              <w:ind w:left="2552" w:right="258"/>
                              <w:contextualSpacing w:val="0"/>
                              <w:rPr>
                                <w:rFonts w:cs="Calibri"/>
                                <w:b/>
                                <w:color w:val="6691AB"/>
                                <w:sz w:val="4"/>
                                <w:szCs w:val="20"/>
                                <w:lang w:val="el-GR"/>
                              </w:rPr>
                            </w:pPr>
                          </w:p>
                          <w:p w14:paraId="2741B634" w14:textId="1EEC74CD" w:rsidR="00EA6E38" w:rsidRDefault="00EA6E38" w:rsidP="00BB2BB5">
                            <w:pPr>
                              <w:pStyle w:val="ListParagraph"/>
                              <w:tabs>
                                <w:tab w:val="left" w:pos="5040"/>
                                <w:tab w:val="left" w:pos="10348"/>
                              </w:tabs>
                              <w:spacing w:line="276" w:lineRule="auto"/>
                              <w:ind w:left="1985" w:right="258"/>
                              <w:contextualSpacing w:val="0"/>
                              <w:rPr>
                                <w:rFonts w:cs="Calibri"/>
                                <w:b/>
                                <w:color w:val="6691AB"/>
                                <w:szCs w:val="20"/>
                                <w:lang w:val="el-GR"/>
                              </w:rPr>
                            </w:pPr>
                            <w:r>
                              <w:rPr>
                                <w:rFonts w:cs="Calibri"/>
                                <w:b/>
                                <w:color w:val="6691AB"/>
                                <w:szCs w:val="20"/>
                                <w:lang w:val="el-GR"/>
                              </w:rPr>
                              <w:t>Οι ενέργειες του 2021 μετασχηματίζουν την Πειραιώς σε όλα τα επίπεδα</w:t>
                            </w:r>
                          </w:p>
                          <w:p w14:paraId="358AC195" w14:textId="77777777" w:rsidR="00EA6E38" w:rsidRPr="00263465" w:rsidRDefault="00EA6E38" w:rsidP="00BB2BB5">
                            <w:pPr>
                              <w:pStyle w:val="ListParagraph"/>
                              <w:tabs>
                                <w:tab w:val="left" w:pos="5040"/>
                                <w:tab w:val="left" w:pos="10348"/>
                              </w:tabs>
                              <w:spacing w:line="276" w:lineRule="auto"/>
                              <w:ind w:left="1985" w:right="258"/>
                              <w:contextualSpacing w:val="0"/>
                              <w:rPr>
                                <w:rFonts w:eastAsiaTheme="minorHAnsi" w:cs="Calibri"/>
                                <w:bCs/>
                                <w:sz w:val="10"/>
                                <w:szCs w:val="20"/>
                                <w:lang w:val="el-GR"/>
                              </w:rPr>
                            </w:pPr>
                          </w:p>
                          <w:p w14:paraId="1EF7AE80" w14:textId="64BBF3E1" w:rsidR="00EA6E38" w:rsidRPr="00B56784" w:rsidRDefault="00EA6E38" w:rsidP="00B56784">
                            <w:pPr>
                              <w:numPr>
                                <w:ilvl w:val="0"/>
                                <w:numId w:val="27"/>
                              </w:numPr>
                              <w:tabs>
                                <w:tab w:val="left" w:pos="10348"/>
                              </w:tabs>
                              <w:spacing w:after="0" w:line="300" w:lineRule="exact"/>
                              <w:ind w:left="2268" w:right="258" w:hanging="283"/>
                              <w:contextualSpacing/>
                              <w:jc w:val="both"/>
                              <w:rPr>
                                <w:rFonts w:cs="Calibri"/>
                                <w:bCs/>
                                <w:sz w:val="20"/>
                                <w:szCs w:val="20"/>
                              </w:rPr>
                            </w:pPr>
                            <w:r w:rsidRPr="00B56784">
                              <w:rPr>
                                <w:rFonts w:cs="Calibri"/>
                                <w:bCs/>
                                <w:sz w:val="20"/>
                                <w:szCs w:val="20"/>
                              </w:rPr>
                              <w:t xml:space="preserve">Μείωση NPEs </w:t>
                            </w:r>
                            <w:r>
                              <w:rPr>
                                <w:rFonts w:cs="Calibri"/>
                                <w:bCs/>
                                <w:sz w:val="20"/>
                                <w:szCs w:val="20"/>
                              </w:rPr>
                              <w:t>κατά</w:t>
                            </w:r>
                            <w:r w:rsidRPr="00B56784">
                              <w:rPr>
                                <w:rFonts w:cs="Calibri"/>
                                <w:bCs/>
                                <w:sz w:val="20"/>
                                <w:szCs w:val="20"/>
                              </w:rPr>
                              <w:t xml:space="preserve"> €13,5 δισ. </w:t>
                            </w:r>
                            <w:r>
                              <w:rPr>
                                <w:rFonts w:cs="Calibri"/>
                                <w:bCs/>
                                <w:sz w:val="20"/>
                                <w:szCs w:val="20"/>
                              </w:rPr>
                              <w:t>τ</w:t>
                            </w:r>
                            <w:r w:rsidRPr="00B56784">
                              <w:rPr>
                                <w:rFonts w:cs="Calibri"/>
                                <w:bCs/>
                                <w:sz w:val="20"/>
                                <w:szCs w:val="20"/>
                              </w:rPr>
                              <w:t xml:space="preserve">ο </w:t>
                            </w:r>
                            <w:r>
                              <w:rPr>
                                <w:rFonts w:cs="Calibri"/>
                                <w:bCs/>
                                <w:sz w:val="20"/>
                                <w:szCs w:val="20"/>
                              </w:rPr>
                              <w:t>πρώτο</w:t>
                            </w:r>
                            <w:r w:rsidRPr="00B56784">
                              <w:rPr>
                                <w:rFonts w:cs="Calibri"/>
                                <w:bCs/>
                                <w:sz w:val="20"/>
                                <w:szCs w:val="20"/>
                              </w:rPr>
                              <w:t xml:space="preserve"> </w:t>
                            </w:r>
                            <w:r>
                              <w:rPr>
                                <w:rFonts w:cs="Calibri"/>
                                <w:bCs/>
                                <w:sz w:val="20"/>
                                <w:szCs w:val="20"/>
                              </w:rPr>
                              <w:t>εξάμηνο</w:t>
                            </w:r>
                            <w:r w:rsidRPr="00B56784">
                              <w:rPr>
                                <w:rFonts w:cs="Calibri"/>
                                <w:bCs/>
                                <w:sz w:val="20"/>
                                <w:szCs w:val="20"/>
                              </w:rPr>
                              <w:t xml:space="preserve">, </w:t>
                            </w:r>
                            <w:r>
                              <w:rPr>
                                <w:rFonts w:cs="Calibri"/>
                                <w:bCs/>
                                <w:sz w:val="20"/>
                                <w:szCs w:val="20"/>
                              </w:rPr>
                              <w:t>με</w:t>
                            </w:r>
                            <w:r w:rsidRPr="00B56784">
                              <w:rPr>
                                <w:rFonts w:cs="Calibri"/>
                                <w:bCs/>
                                <w:sz w:val="20"/>
                                <w:szCs w:val="20"/>
                              </w:rPr>
                              <w:t xml:space="preserve"> </w:t>
                            </w:r>
                            <w:r>
                              <w:rPr>
                                <w:rFonts w:cs="Calibri"/>
                                <w:bCs/>
                                <w:sz w:val="20"/>
                                <w:szCs w:val="20"/>
                              </w:rPr>
                              <w:t>το</w:t>
                            </w:r>
                            <w:r w:rsidRPr="00B56784">
                              <w:rPr>
                                <w:rFonts w:cs="Calibri"/>
                                <w:bCs/>
                                <w:sz w:val="20"/>
                                <w:szCs w:val="20"/>
                              </w:rPr>
                              <w:t xml:space="preserve"> </w:t>
                            </w:r>
                            <w:r>
                              <w:rPr>
                                <w:rFonts w:cs="Calibri"/>
                                <w:bCs/>
                                <w:sz w:val="20"/>
                                <w:szCs w:val="20"/>
                              </w:rPr>
                              <w:t>δείκτη</w:t>
                            </w:r>
                            <w:r w:rsidRPr="00B56784">
                              <w:rPr>
                                <w:rFonts w:cs="Calibri"/>
                                <w:bCs/>
                                <w:sz w:val="20"/>
                                <w:szCs w:val="20"/>
                              </w:rPr>
                              <w:t xml:space="preserve"> NPE στο 23%</w:t>
                            </w:r>
                            <w:r>
                              <w:rPr>
                                <w:rFonts w:cs="Calibri"/>
                                <w:bCs/>
                                <w:sz w:val="20"/>
                                <w:szCs w:val="20"/>
                              </w:rPr>
                              <w:t xml:space="preserve"> (μείωση στο μισό σε έξι μήνες). Σ</w:t>
                            </w:r>
                            <w:r w:rsidRPr="00B56784">
                              <w:rPr>
                                <w:rFonts w:cs="Calibri"/>
                                <w:bCs/>
                                <w:sz w:val="20"/>
                                <w:szCs w:val="20"/>
                              </w:rPr>
                              <w:t xml:space="preserve">ε τροχιά επίτευξης </w:t>
                            </w:r>
                            <w:r>
                              <w:rPr>
                                <w:rFonts w:cs="Calibri"/>
                                <w:bCs/>
                                <w:sz w:val="20"/>
                                <w:szCs w:val="20"/>
                              </w:rPr>
                              <w:t xml:space="preserve">για </w:t>
                            </w:r>
                            <w:r w:rsidRPr="00B56784">
                              <w:rPr>
                                <w:rFonts w:cs="Calibri"/>
                                <w:bCs/>
                                <w:sz w:val="20"/>
                                <w:szCs w:val="20"/>
                              </w:rPr>
                              <w:t>μονοψήφιο δείκτη NPE</w:t>
                            </w:r>
                          </w:p>
                          <w:p w14:paraId="7FB7DE4B" w14:textId="256D8591" w:rsidR="00EA6E38" w:rsidRPr="00B56784" w:rsidRDefault="00EA6E38" w:rsidP="00F71E32">
                            <w:pPr>
                              <w:numPr>
                                <w:ilvl w:val="0"/>
                                <w:numId w:val="27"/>
                              </w:numPr>
                              <w:tabs>
                                <w:tab w:val="left" w:pos="10348"/>
                              </w:tabs>
                              <w:spacing w:after="0" w:line="300" w:lineRule="exact"/>
                              <w:ind w:left="2268" w:right="258" w:hanging="283"/>
                              <w:contextualSpacing/>
                              <w:jc w:val="both"/>
                              <w:rPr>
                                <w:rFonts w:cs="Calibri"/>
                                <w:bCs/>
                                <w:sz w:val="20"/>
                                <w:szCs w:val="20"/>
                              </w:rPr>
                            </w:pPr>
                            <w:r w:rsidRPr="00B56784">
                              <w:rPr>
                                <w:rFonts w:cs="Calibri"/>
                                <w:bCs/>
                                <w:sz w:val="20"/>
                                <w:szCs w:val="20"/>
                              </w:rPr>
                              <w:t xml:space="preserve">Εκταμιεύσεις δανείων ύψους €3,4 δισ. </w:t>
                            </w:r>
                            <w:r>
                              <w:rPr>
                                <w:rFonts w:cs="Calibri"/>
                                <w:bCs/>
                                <w:sz w:val="20"/>
                                <w:szCs w:val="20"/>
                              </w:rPr>
                              <w:t xml:space="preserve">το πρώτο εξάμηνο, </w:t>
                            </w:r>
                            <w:r w:rsidRPr="00B56784">
                              <w:rPr>
                                <w:rFonts w:cs="Calibri"/>
                                <w:bCs/>
                                <w:sz w:val="20"/>
                                <w:szCs w:val="20"/>
                              </w:rPr>
                              <w:t xml:space="preserve">σε τροχιά υπέρβασης του στόχου εκταμίευσης νέων δανείων ύψους €5,7 δισ. </w:t>
                            </w:r>
                            <w:r>
                              <w:rPr>
                                <w:rFonts w:cs="Calibri"/>
                                <w:bCs/>
                                <w:sz w:val="20"/>
                                <w:szCs w:val="20"/>
                              </w:rPr>
                              <w:t>που έχει τεθεί για το έτος</w:t>
                            </w:r>
                            <w:r w:rsidRPr="00B56784">
                              <w:rPr>
                                <w:rFonts w:cs="Calibri"/>
                                <w:bCs/>
                                <w:sz w:val="20"/>
                                <w:szCs w:val="20"/>
                              </w:rPr>
                              <w:t xml:space="preserve"> 2021</w:t>
                            </w:r>
                          </w:p>
                          <w:p w14:paraId="3361D238" w14:textId="681FB701" w:rsidR="00EA6E38" w:rsidRPr="00F71E32" w:rsidRDefault="00EA6E38" w:rsidP="00F71E32">
                            <w:pPr>
                              <w:numPr>
                                <w:ilvl w:val="0"/>
                                <w:numId w:val="27"/>
                              </w:numPr>
                              <w:tabs>
                                <w:tab w:val="left" w:pos="10348"/>
                              </w:tabs>
                              <w:spacing w:after="0" w:line="300" w:lineRule="exact"/>
                              <w:ind w:left="2268" w:right="258" w:hanging="283"/>
                              <w:contextualSpacing/>
                              <w:jc w:val="both"/>
                              <w:rPr>
                                <w:rFonts w:cs="Calibri"/>
                                <w:bCs/>
                                <w:sz w:val="20"/>
                                <w:szCs w:val="20"/>
                              </w:rPr>
                            </w:pPr>
                            <w:r>
                              <w:rPr>
                                <w:rFonts w:cs="Calibri"/>
                                <w:bCs/>
                                <w:sz w:val="20"/>
                                <w:szCs w:val="20"/>
                              </w:rPr>
                              <w:t>Ισχυρή</w:t>
                            </w:r>
                            <w:r w:rsidRPr="00F71E32">
                              <w:rPr>
                                <w:rFonts w:cs="Calibri"/>
                                <w:bCs/>
                                <w:sz w:val="20"/>
                                <w:szCs w:val="20"/>
                              </w:rPr>
                              <w:t xml:space="preserve"> </w:t>
                            </w:r>
                            <w:r>
                              <w:rPr>
                                <w:rFonts w:cs="Calibri"/>
                                <w:bCs/>
                                <w:sz w:val="20"/>
                                <w:szCs w:val="20"/>
                              </w:rPr>
                              <w:t>αύξηση</w:t>
                            </w:r>
                            <w:r w:rsidRPr="00F71E32">
                              <w:rPr>
                                <w:rFonts w:cs="Calibri"/>
                                <w:bCs/>
                                <w:sz w:val="20"/>
                                <w:szCs w:val="20"/>
                              </w:rPr>
                              <w:t xml:space="preserve"> </w:t>
                            </w:r>
                            <w:r>
                              <w:rPr>
                                <w:rFonts w:cs="Calibri"/>
                                <w:bCs/>
                                <w:sz w:val="20"/>
                                <w:szCs w:val="20"/>
                              </w:rPr>
                              <w:t xml:space="preserve">των υπό διαχείριση κεφαλαίων πελατών κατά </w:t>
                            </w:r>
                            <w:r w:rsidRPr="00F71E32">
                              <w:rPr>
                                <w:rFonts w:cs="Calibri"/>
                                <w:bCs/>
                                <w:sz w:val="20"/>
                                <w:szCs w:val="20"/>
                              </w:rPr>
                              <w:t>€2</w:t>
                            </w:r>
                            <w:r>
                              <w:rPr>
                                <w:rFonts w:cs="Calibri"/>
                                <w:bCs/>
                                <w:sz w:val="20"/>
                                <w:szCs w:val="20"/>
                              </w:rPr>
                              <w:t>,</w:t>
                            </w:r>
                            <w:r w:rsidRPr="00F71E32">
                              <w:rPr>
                                <w:rFonts w:cs="Calibri"/>
                                <w:bCs/>
                                <w:sz w:val="20"/>
                                <w:szCs w:val="20"/>
                              </w:rPr>
                              <w:t>2</w:t>
                            </w:r>
                            <w:r>
                              <w:rPr>
                                <w:rFonts w:cs="Calibri"/>
                                <w:bCs/>
                                <w:sz w:val="20"/>
                                <w:szCs w:val="20"/>
                              </w:rPr>
                              <w:t xml:space="preserve"> δισ. το πρώτο εξάμηνο</w:t>
                            </w:r>
                          </w:p>
                          <w:p w14:paraId="435CEB4C" w14:textId="6A991E1F" w:rsidR="00EA6E38" w:rsidRPr="00F71E32" w:rsidRDefault="00EA6E38" w:rsidP="00F71E32">
                            <w:pPr>
                              <w:numPr>
                                <w:ilvl w:val="0"/>
                                <w:numId w:val="27"/>
                              </w:numPr>
                              <w:tabs>
                                <w:tab w:val="left" w:pos="10348"/>
                              </w:tabs>
                              <w:spacing w:after="0" w:line="300" w:lineRule="exact"/>
                              <w:ind w:left="2268" w:right="258" w:hanging="283"/>
                              <w:contextualSpacing/>
                              <w:jc w:val="both"/>
                              <w:rPr>
                                <w:rFonts w:cs="Calibri"/>
                                <w:bCs/>
                                <w:sz w:val="20"/>
                                <w:szCs w:val="20"/>
                              </w:rPr>
                            </w:pPr>
                            <w:r w:rsidRPr="00F71E32">
                              <w:rPr>
                                <w:rFonts w:cs="Calibri"/>
                                <w:bCs/>
                                <w:sz w:val="20"/>
                                <w:szCs w:val="20"/>
                              </w:rPr>
                              <w:t xml:space="preserve">Αύξηση 18% σε ετήσια βάση στα επαναλαμβανόμενα κέρδη προ φόρων και προβλέψεων από βασικές τραπεζικές δραστηριότητες (έσοδα από τόκους και προμήθειες μείον λειτουργικά έξοδα) στα €505 εκατ. </w:t>
                            </w:r>
                          </w:p>
                          <w:p w14:paraId="47341F3E" w14:textId="77777777" w:rsidR="00EA6E38" w:rsidRPr="00F71E32" w:rsidRDefault="00EA6E38" w:rsidP="00F71E32">
                            <w:pPr>
                              <w:numPr>
                                <w:ilvl w:val="0"/>
                                <w:numId w:val="27"/>
                              </w:numPr>
                              <w:tabs>
                                <w:tab w:val="left" w:pos="10348"/>
                              </w:tabs>
                              <w:spacing w:after="0" w:line="300" w:lineRule="exact"/>
                              <w:ind w:left="2268" w:right="258" w:hanging="283"/>
                              <w:contextualSpacing/>
                              <w:jc w:val="both"/>
                              <w:rPr>
                                <w:rFonts w:cs="Calibri"/>
                                <w:bCs/>
                                <w:sz w:val="20"/>
                                <w:szCs w:val="20"/>
                              </w:rPr>
                            </w:pPr>
                            <w:r w:rsidRPr="00F71E32">
                              <w:rPr>
                                <w:rFonts w:cs="Calibri"/>
                                <w:bCs/>
                                <w:sz w:val="20"/>
                                <w:szCs w:val="20"/>
                              </w:rPr>
                              <w:t xml:space="preserve">Λειτουργικά έξοδα σε επαναλαμβανόμενη βάση στα €444 εκατ., μειωμένα κατά 2% σε ετήσια βάση </w:t>
                            </w:r>
                          </w:p>
                          <w:p w14:paraId="75FBFF62" w14:textId="3DDD6FCE" w:rsidR="00EA6E38" w:rsidRPr="00F71E32" w:rsidRDefault="00EA6E38" w:rsidP="00F71E32">
                            <w:pPr>
                              <w:numPr>
                                <w:ilvl w:val="0"/>
                                <w:numId w:val="27"/>
                              </w:numPr>
                              <w:tabs>
                                <w:tab w:val="left" w:pos="10348"/>
                              </w:tabs>
                              <w:spacing w:after="0" w:line="300" w:lineRule="exact"/>
                              <w:ind w:left="2268" w:right="258" w:hanging="283"/>
                              <w:contextualSpacing/>
                              <w:jc w:val="both"/>
                              <w:rPr>
                                <w:rFonts w:cs="Calibri"/>
                                <w:bCs/>
                                <w:sz w:val="20"/>
                                <w:szCs w:val="20"/>
                              </w:rPr>
                            </w:pPr>
                            <w:r w:rsidRPr="00F71E32">
                              <w:rPr>
                                <w:rFonts w:cs="Calibri"/>
                                <w:bCs/>
                                <w:sz w:val="20"/>
                                <w:szCs w:val="20"/>
                              </w:rPr>
                              <w:t xml:space="preserve">Δείκτης κόστους προς έσοδα (σε επαναλαμβανόμενη βάση) στο 41% το πρώτο εξάμηνο, </w:t>
                            </w:r>
                            <w:r>
                              <w:rPr>
                                <w:rFonts w:cs="Calibri"/>
                                <w:bCs/>
                                <w:sz w:val="20"/>
                                <w:szCs w:val="20"/>
                              </w:rPr>
                              <w:t>έναντι</w:t>
                            </w:r>
                            <w:r w:rsidRPr="00F71E32">
                              <w:rPr>
                                <w:rFonts w:cs="Calibri"/>
                                <w:bCs/>
                                <w:sz w:val="20"/>
                                <w:szCs w:val="20"/>
                              </w:rPr>
                              <w:t xml:space="preserve"> 4</w:t>
                            </w:r>
                            <w:r>
                              <w:rPr>
                                <w:rFonts w:cs="Calibri"/>
                                <w:bCs/>
                                <w:sz w:val="20"/>
                                <w:szCs w:val="20"/>
                              </w:rPr>
                              <w:t>9</w:t>
                            </w:r>
                            <w:r w:rsidRPr="00F71E32">
                              <w:rPr>
                                <w:rFonts w:cs="Calibri"/>
                                <w:bCs/>
                                <w:sz w:val="20"/>
                                <w:szCs w:val="20"/>
                              </w:rPr>
                              <w:t xml:space="preserve">% </w:t>
                            </w:r>
                            <w:r>
                              <w:rPr>
                                <w:rFonts w:cs="Calibri"/>
                                <w:bCs/>
                                <w:sz w:val="20"/>
                                <w:szCs w:val="20"/>
                              </w:rPr>
                              <w:t>την ίδια περίοδο του 2020</w:t>
                            </w:r>
                          </w:p>
                          <w:p w14:paraId="3CAE4752" w14:textId="77777777" w:rsidR="00EA6E38" w:rsidRPr="00084CF0" w:rsidRDefault="00EA6E38" w:rsidP="00BB2BB5">
                            <w:pPr>
                              <w:numPr>
                                <w:ilvl w:val="0"/>
                                <w:numId w:val="27"/>
                              </w:numPr>
                              <w:tabs>
                                <w:tab w:val="left" w:pos="10348"/>
                              </w:tabs>
                              <w:spacing w:after="0" w:line="300" w:lineRule="exact"/>
                              <w:ind w:left="2268" w:right="258" w:hanging="283"/>
                              <w:contextualSpacing/>
                              <w:jc w:val="both"/>
                              <w:rPr>
                                <w:rFonts w:cs="Calibri"/>
                                <w:bCs/>
                                <w:sz w:val="20"/>
                                <w:szCs w:val="20"/>
                              </w:rPr>
                            </w:pPr>
                            <w:r w:rsidRPr="00F71E32">
                              <w:rPr>
                                <w:rFonts w:cs="Calibri"/>
                                <w:bCs/>
                                <w:sz w:val="20"/>
                                <w:szCs w:val="20"/>
                              </w:rPr>
                              <w:t xml:space="preserve">Κέρδη προ φόρων στα €358 εκατ. το πρώτο εξάμηνο 2021, </w:t>
                            </w:r>
                            <w:r>
                              <w:rPr>
                                <w:rFonts w:cs="Calibri"/>
                                <w:bCs/>
                                <w:sz w:val="20"/>
                                <w:szCs w:val="20"/>
                              </w:rPr>
                              <w:t>διπλάσιο</w:t>
                            </w:r>
                            <w:r w:rsidRPr="00084CF0">
                              <w:rPr>
                                <w:rFonts w:cs="Calibri"/>
                                <w:bCs/>
                                <w:sz w:val="20"/>
                                <w:szCs w:val="20"/>
                              </w:rPr>
                              <w:t xml:space="preserve"> </w:t>
                            </w:r>
                            <w:r>
                              <w:rPr>
                                <w:rFonts w:cs="Calibri"/>
                                <w:bCs/>
                                <w:sz w:val="20"/>
                                <w:szCs w:val="20"/>
                              </w:rPr>
                              <w:t>σε</w:t>
                            </w:r>
                            <w:r w:rsidRPr="00084CF0">
                              <w:rPr>
                                <w:rFonts w:cs="Calibri"/>
                                <w:bCs/>
                                <w:sz w:val="20"/>
                                <w:szCs w:val="20"/>
                              </w:rPr>
                              <w:t xml:space="preserve"> </w:t>
                            </w:r>
                            <w:r>
                              <w:rPr>
                                <w:rFonts w:cs="Calibri"/>
                                <w:bCs/>
                                <w:sz w:val="20"/>
                                <w:szCs w:val="20"/>
                              </w:rPr>
                              <w:t xml:space="preserve">σύγκριση με την αντίστοιχη περίοδο του </w:t>
                            </w:r>
                            <w:r w:rsidRPr="00084CF0">
                              <w:rPr>
                                <w:rFonts w:cs="Calibri"/>
                                <w:bCs/>
                                <w:sz w:val="20"/>
                                <w:szCs w:val="20"/>
                              </w:rPr>
                              <w:t>2020</w:t>
                            </w:r>
                          </w:p>
                          <w:p w14:paraId="7F527A94" w14:textId="109F2D6F" w:rsidR="00EA6E38" w:rsidRPr="002A24AC" w:rsidRDefault="00EA6E38" w:rsidP="00BB2BB5">
                            <w:pPr>
                              <w:numPr>
                                <w:ilvl w:val="0"/>
                                <w:numId w:val="27"/>
                              </w:numPr>
                              <w:tabs>
                                <w:tab w:val="left" w:pos="10348"/>
                              </w:tabs>
                              <w:spacing w:after="0" w:line="300" w:lineRule="exact"/>
                              <w:ind w:left="2268" w:right="258" w:hanging="283"/>
                              <w:contextualSpacing/>
                              <w:jc w:val="both"/>
                              <w:rPr>
                                <w:rFonts w:cs="Calibri"/>
                                <w:bCs/>
                                <w:sz w:val="20"/>
                                <w:szCs w:val="20"/>
                              </w:rPr>
                            </w:pPr>
                            <w:r w:rsidRPr="002A24AC">
                              <w:rPr>
                                <w:rFonts w:cs="Calibri"/>
                                <w:bCs/>
                                <w:sz w:val="20"/>
                                <w:szCs w:val="20"/>
                              </w:rPr>
                              <w:t xml:space="preserve">Λαμβάνοντας υπόψη τις ζημίες από τη μείωση των </w:t>
                            </w:r>
                            <w:r w:rsidRPr="002A24AC">
                              <w:rPr>
                                <w:rFonts w:cs="Calibri"/>
                                <w:bCs/>
                                <w:sz w:val="20"/>
                                <w:szCs w:val="20"/>
                                <w:lang w:val="en-US"/>
                              </w:rPr>
                              <w:t>NPEs</w:t>
                            </w:r>
                            <w:r w:rsidRPr="002A24AC">
                              <w:rPr>
                                <w:rFonts w:cs="Calibri"/>
                                <w:bCs/>
                                <w:sz w:val="20"/>
                                <w:szCs w:val="20"/>
                              </w:rPr>
                              <w:t>, το καθαρό αποτέλεσμα διαμορφώθηκε σε  -€2,5 δισ. το πρώτο εξάμηνο, σύμφωνα με τις εκτιμήσεις και το κεφαλαιακό πλάνο</w:t>
                            </w:r>
                          </w:p>
                          <w:p w14:paraId="03249D49" w14:textId="60F53CBF" w:rsidR="00EA6E38" w:rsidRPr="006A72B6" w:rsidRDefault="00EA6E38" w:rsidP="00BB2BB5">
                            <w:pPr>
                              <w:pStyle w:val="ListParagraph"/>
                              <w:numPr>
                                <w:ilvl w:val="0"/>
                                <w:numId w:val="27"/>
                              </w:numPr>
                              <w:tabs>
                                <w:tab w:val="left" w:pos="10348"/>
                              </w:tabs>
                              <w:spacing w:line="300" w:lineRule="exact"/>
                              <w:ind w:left="2268" w:right="258" w:hanging="283"/>
                              <w:jc w:val="both"/>
                              <w:rPr>
                                <w:rFonts w:cs="Calibri"/>
                                <w:bCs/>
                                <w:sz w:val="20"/>
                                <w:szCs w:val="20"/>
                                <w:lang w:val="el-GR"/>
                              </w:rPr>
                            </w:pPr>
                            <w:r w:rsidRPr="001A45AD">
                              <w:rPr>
                                <w:rFonts w:cs="Calibri"/>
                                <w:sz w:val="20"/>
                                <w:szCs w:val="20"/>
                                <w:lang w:val="el-GR"/>
                              </w:rPr>
                              <w:t>Συνολικός δεί</w:t>
                            </w:r>
                            <w:r>
                              <w:rPr>
                                <w:rFonts w:cs="Calibri"/>
                                <w:sz w:val="20"/>
                                <w:szCs w:val="20"/>
                                <w:lang w:val="el-GR"/>
                              </w:rPr>
                              <w:t xml:space="preserve">κτης κεφαλαιακής </w:t>
                            </w:r>
                            <w:r w:rsidRPr="005E4FE0">
                              <w:rPr>
                                <w:rFonts w:cs="Calibri"/>
                                <w:bCs/>
                                <w:sz w:val="20"/>
                                <w:szCs w:val="20"/>
                                <w:lang w:val="el-GR"/>
                              </w:rPr>
                              <w:t>επάρκειας στο 16</w:t>
                            </w:r>
                            <w:r>
                              <w:rPr>
                                <w:rFonts w:cs="Calibri"/>
                                <w:bCs/>
                                <w:sz w:val="20"/>
                                <w:szCs w:val="20"/>
                                <w:lang w:val="el-GR"/>
                              </w:rPr>
                              <w:t>%</w:t>
                            </w:r>
                            <w:r w:rsidRPr="005E4FE0">
                              <w:rPr>
                                <w:rFonts w:cs="Calibri"/>
                                <w:bCs/>
                                <w:sz w:val="20"/>
                                <w:szCs w:val="20"/>
                                <w:lang w:val="el-GR"/>
                              </w:rPr>
                              <w:t xml:space="preserve">, με δείκτη </w:t>
                            </w:r>
                            <w:r>
                              <w:rPr>
                                <w:rFonts w:cs="Calibri"/>
                                <w:bCs/>
                                <w:sz w:val="20"/>
                                <w:szCs w:val="20"/>
                                <w:lang w:val="el-GR"/>
                              </w:rPr>
                              <w:t xml:space="preserve">κεφαλαικής επάρκειας </w:t>
                            </w:r>
                            <w:r w:rsidRPr="005E4FE0">
                              <w:rPr>
                                <w:rFonts w:cs="Calibri"/>
                                <w:bCs/>
                                <w:sz w:val="20"/>
                                <w:szCs w:val="20"/>
                                <w:lang w:val="el-GR"/>
                              </w:rPr>
                              <w:t>σε πλήρη εφαρμογή του εποπτικού πλαισίου της Βασιλείας ΙΙΙ στο 14%</w:t>
                            </w:r>
                            <w:r>
                              <w:rPr>
                                <w:rFonts w:cs="Calibri"/>
                                <w:bCs/>
                                <w:sz w:val="20"/>
                                <w:szCs w:val="20"/>
                                <w:lang w:val="el-GR"/>
                              </w:rPr>
                              <w:t>,</w:t>
                            </w:r>
                            <w:r w:rsidRPr="005E4FE0">
                              <w:rPr>
                                <w:rFonts w:cs="Calibri"/>
                                <w:bCs/>
                                <w:sz w:val="20"/>
                                <w:szCs w:val="20"/>
                                <w:lang w:val="el-GR"/>
                              </w:rPr>
                              <w:t xml:space="preserve"> </w:t>
                            </w:r>
                            <w:r w:rsidRPr="006A72B6">
                              <w:rPr>
                                <w:rFonts w:cs="Calibri"/>
                                <w:bCs/>
                                <w:sz w:val="20"/>
                                <w:szCs w:val="20"/>
                              </w:rPr>
                              <w:t>proforma</w:t>
                            </w:r>
                            <w:r w:rsidRPr="005E4FE0">
                              <w:rPr>
                                <w:rFonts w:cs="Calibri"/>
                                <w:bCs/>
                                <w:sz w:val="20"/>
                                <w:szCs w:val="20"/>
                                <w:lang w:val="el-GR"/>
                              </w:rPr>
                              <w:t xml:space="preserve"> για τ</w:t>
                            </w:r>
                            <w:r>
                              <w:rPr>
                                <w:rFonts w:cs="Calibri"/>
                                <w:bCs/>
                                <w:sz w:val="20"/>
                                <w:szCs w:val="20"/>
                                <w:lang w:val="el-GR"/>
                              </w:rPr>
                              <w:t xml:space="preserve">ην επίπτωση </w:t>
                            </w:r>
                            <w:r w:rsidRPr="006A72B6">
                              <w:rPr>
                                <w:rFonts w:cs="Calibri"/>
                                <w:bCs/>
                                <w:sz w:val="20"/>
                                <w:szCs w:val="20"/>
                              </w:rPr>
                              <w:t>Sunrise</w:t>
                            </w:r>
                            <w:r w:rsidRPr="005E4FE0">
                              <w:rPr>
                                <w:rFonts w:cs="Calibri"/>
                                <w:bCs/>
                                <w:sz w:val="20"/>
                                <w:szCs w:val="20"/>
                                <w:lang w:val="el-GR"/>
                              </w:rPr>
                              <w:t xml:space="preserve"> 1</w:t>
                            </w:r>
                            <w:r w:rsidRPr="001A45AD">
                              <w:rPr>
                                <w:rFonts w:cs="Calibri"/>
                                <w:sz w:val="20"/>
                                <w:szCs w:val="20"/>
                                <w:lang w:val="el-GR"/>
                              </w:rPr>
                              <w:t xml:space="preserve">  </w:t>
                            </w:r>
                            <w:r>
                              <w:rPr>
                                <w:rFonts w:cs="Calibri"/>
                                <w:sz w:val="20"/>
                                <w:szCs w:val="20"/>
                                <w:lang w:val="el-GR"/>
                              </w:rPr>
                              <w:t>στο σταθμισμένο έναντι κινδύνων ενεργητικό</w:t>
                            </w:r>
                          </w:p>
                          <w:p w14:paraId="5908AF4E" w14:textId="77777777" w:rsidR="00EA6E38" w:rsidRDefault="00EA6E38" w:rsidP="00973E5D">
                            <w:pPr>
                              <w:pStyle w:val="ListParagraph"/>
                              <w:tabs>
                                <w:tab w:val="left" w:pos="5040"/>
                                <w:tab w:val="left" w:pos="10348"/>
                              </w:tabs>
                              <w:ind w:left="1985" w:right="258"/>
                              <w:rPr>
                                <w:rFonts w:cs="Calibri"/>
                                <w:b/>
                                <w:color w:val="6691AB"/>
                                <w:szCs w:val="20"/>
                                <w:lang w:val="el-GR"/>
                              </w:rPr>
                            </w:pPr>
                          </w:p>
                          <w:p w14:paraId="354BDAD3" w14:textId="58E5580F" w:rsidR="00EA6E38" w:rsidRPr="00B06DEC" w:rsidRDefault="00EA6E38" w:rsidP="00973E5D">
                            <w:pPr>
                              <w:pStyle w:val="ListParagraph"/>
                              <w:tabs>
                                <w:tab w:val="left" w:pos="5040"/>
                                <w:tab w:val="left" w:pos="10348"/>
                              </w:tabs>
                              <w:ind w:left="1985" w:right="258"/>
                              <w:rPr>
                                <w:rFonts w:cs="Calibri"/>
                                <w:b/>
                                <w:color w:val="6691AB"/>
                                <w:szCs w:val="20"/>
                                <w:lang w:val="el-GR"/>
                              </w:rPr>
                            </w:pPr>
                            <w:r>
                              <w:rPr>
                                <w:rFonts w:cs="Calibri"/>
                                <w:b/>
                                <w:color w:val="6691AB"/>
                                <w:szCs w:val="20"/>
                                <w:lang w:val="el-GR"/>
                              </w:rPr>
                              <w:t xml:space="preserve">Αποτελέσματα </w:t>
                            </w:r>
                            <w:r w:rsidRPr="00973E5D">
                              <w:rPr>
                                <w:rFonts w:cs="Calibri"/>
                                <w:b/>
                                <w:color w:val="6691AB"/>
                                <w:szCs w:val="20"/>
                                <w:lang w:val="el-GR"/>
                              </w:rPr>
                              <w:t>Άσκηση</w:t>
                            </w:r>
                            <w:r>
                              <w:rPr>
                                <w:rFonts w:cs="Calibri"/>
                                <w:b/>
                                <w:color w:val="6691AB"/>
                                <w:szCs w:val="20"/>
                                <w:lang w:val="el-GR"/>
                              </w:rPr>
                              <w:t>ς</w:t>
                            </w:r>
                            <w:r w:rsidRPr="00973E5D">
                              <w:rPr>
                                <w:rFonts w:cs="Calibri"/>
                                <w:b/>
                                <w:color w:val="6691AB"/>
                                <w:szCs w:val="20"/>
                                <w:lang w:val="el-GR"/>
                              </w:rPr>
                              <w:t xml:space="preserve"> Προσομοίωσης</w:t>
                            </w:r>
                            <w:r>
                              <w:rPr>
                                <w:rFonts w:cs="Calibri"/>
                                <w:b/>
                                <w:color w:val="6691AB"/>
                                <w:szCs w:val="20"/>
                                <w:lang w:val="el-GR"/>
                              </w:rPr>
                              <w:t>ς</w:t>
                            </w:r>
                            <w:r w:rsidRPr="00973E5D">
                              <w:rPr>
                                <w:rFonts w:cs="Calibri"/>
                                <w:b/>
                                <w:color w:val="6691AB"/>
                                <w:szCs w:val="20"/>
                                <w:lang w:val="el-GR"/>
                              </w:rPr>
                              <w:t xml:space="preserve"> Ακραίων Καταστάσεων </w:t>
                            </w:r>
                            <w:r>
                              <w:rPr>
                                <w:rFonts w:cs="Calibri"/>
                                <w:b/>
                                <w:color w:val="6691AB"/>
                                <w:szCs w:val="20"/>
                                <w:lang w:val="el-GR"/>
                              </w:rPr>
                              <w:t>(</w:t>
                            </w:r>
                            <w:r w:rsidRPr="00BB2BB5">
                              <w:rPr>
                                <w:rFonts w:cs="Calibri"/>
                                <w:b/>
                                <w:color w:val="6691AB"/>
                                <w:szCs w:val="20"/>
                                <w:lang w:val="el-GR"/>
                              </w:rPr>
                              <w:t>Stress</w:t>
                            </w:r>
                            <w:r w:rsidRPr="00B06DEC">
                              <w:rPr>
                                <w:rFonts w:cs="Calibri"/>
                                <w:b/>
                                <w:color w:val="6691AB"/>
                                <w:szCs w:val="20"/>
                                <w:lang w:val="el-GR"/>
                              </w:rPr>
                              <w:t xml:space="preserve"> </w:t>
                            </w:r>
                            <w:r w:rsidRPr="00BB2BB5">
                              <w:rPr>
                                <w:rFonts w:cs="Calibri"/>
                                <w:b/>
                                <w:color w:val="6691AB"/>
                                <w:szCs w:val="20"/>
                                <w:lang w:val="el-GR"/>
                              </w:rPr>
                              <w:t>Test</w:t>
                            </w:r>
                            <w:r>
                              <w:rPr>
                                <w:rFonts w:cs="Calibri"/>
                                <w:b/>
                                <w:color w:val="6691AB"/>
                                <w:szCs w:val="20"/>
                                <w:lang w:val="el-GR"/>
                              </w:rPr>
                              <w:t>)</w:t>
                            </w:r>
                            <w:r w:rsidRPr="00B06DEC">
                              <w:rPr>
                                <w:rFonts w:cs="Calibri"/>
                                <w:b/>
                                <w:color w:val="6691AB"/>
                                <w:szCs w:val="20"/>
                                <w:lang w:val="el-GR"/>
                              </w:rPr>
                              <w:t xml:space="preserve"> </w:t>
                            </w:r>
                            <w:r>
                              <w:rPr>
                                <w:rFonts w:cs="Calibri"/>
                                <w:b/>
                                <w:color w:val="6691AB"/>
                                <w:szCs w:val="20"/>
                                <w:lang w:val="el-GR"/>
                              </w:rPr>
                              <w:t xml:space="preserve">2020 </w:t>
                            </w:r>
                            <w:r w:rsidRPr="00973E5D">
                              <w:rPr>
                                <w:rFonts w:cs="Calibri"/>
                                <w:b/>
                                <w:color w:val="6691AB"/>
                                <w:szCs w:val="20"/>
                                <w:lang w:val="el-GR"/>
                              </w:rPr>
                              <w:t>του Ενιαίου Εποπτικού Μηχανισμού (SSM)</w:t>
                            </w:r>
                            <w:r>
                              <w:rPr>
                                <w:rFonts w:cs="Calibri"/>
                                <w:b/>
                                <w:color w:val="6691AB"/>
                                <w:szCs w:val="20"/>
                                <w:lang w:val="el-GR"/>
                              </w:rPr>
                              <w:t xml:space="preserve"> που</w:t>
                            </w:r>
                            <w:r w:rsidRPr="009B19A4">
                              <w:rPr>
                                <w:rFonts w:cs="Calibri"/>
                                <w:b/>
                                <w:color w:val="6691AB"/>
                                <w:szCs w:val="20"/>
                                <w:lang w:val="el-GR"/>
                              </w:rPr>
                              <w:t xml:space="preserve"> </w:t>
                            </w:r>
                            <w:r>
                              <w:rPr>
                                <w:rFonts w:cs="Calibri"/>
                                <w:b/>
                                <w:color w:val="6691AB"/>
                                <w:szCs w:val="20"/>
                                <w:lang w:val="el-GR"/>
                              </w:rPr>
                              <w:t>καταδεικνύουν</w:t>
                            </w:r>
                            <w:r w:rsidRPr="00B06DEC">
                              <w:rPr>
                                <w:rFonts w:cs="Calibri"/>
                                <w:b/>
                                <w:color w:val="6691AB"/>
                                <w:szCs w:val="20"/>
                                <w:lang w:val="el-GR"/>
                              </w:rPr>
                              <w:t xml:space="preserve"> </w:t>
                            </w:r>
                            <w:r>
                              <w:rPr>
                                <w:rFonts w:cs="Calibri"/>
                                <w:b/>
                                <w:color w:val="6691AB"/>
                                <w:szCs w:val="20"/>
                                <w:lang w:val="el-GR"/>
                              </w:rPr>
                              <w:t>την</w:t>
                            </w:r>
                            <w:r w:rsidRPr="00B06DEC">
                              <w:rPr>
                                <w:rFonts w:cs="Calibri"/>
                                <w:b/>
                                <w:color w:val="6691AB"/>
                                <w:szCs w:val="20"/>
                                <w:lang w:val="el-GR"/>
                              </w:rPr>
                              <w:t xml:space="preserve"> </w:t>
                            </w:r>
                            <w:r>
                              <w:rPr>
                                <w:rFonts w:cs="Calibri"/>
                                <w:b/>
                                <w:color w:val="6691AB"/>
                                <w:szCs w:val="20"/>
                                <w:lang w:val="el-GR"/>
                              </w:rPr>
                              <w:t>ενίσχυση των</w:t>
                            </w:r>
                            <w:r w:rsidRPr="00B06DEC">
                              <w:rPr>
                                <w:rFonts w:cs="Calibri"/>
                                <w:b/>
                                <w:color w:val="6691AB"/>
                                <w:szCs w:val="20"/>
                                <w:lang w:val="el-GR"/>
                              </w:rPr>
                              <w:t xml:space="preserve"> </w:t>
                            </w:r>
                            <w:r>
                              <w:rPr>
                                <w:rFonts w:cs="Calibri"/>
                                <w:b/>
                                <w:color w:val="6691AB"/>
                                <w:szCs w:val="20"/>
                                <w:lang w:val="el-GR"/>
                              </w:rPr>
                              <w:t>θεμελιωδών</w:t>
                            </w:r>
                            <w:r w:rsidRPr="00B06DEC">
                              <w:rPr>
                                <w:rFonts w:cs="Calibri"/>
                                <w:b/>
                                <w:color w:val="6691AB"/>
                                <w:szCs w:val="20"/>
                                <w:lang w:val="el-GR"/>
                              </w:rPr>
                              <w:t xml:space="preserve"> </w:t>
                            </w:r>
                            <w:r>
                              <w:rPr>
                                <w:rFonts w:cs="Calibri"/>
                                <w:b/>
                                <w:color w:val="6691AB"/>
                                <w:szCs w:val="20"/>
                                <w:lang w:val="el-GR"/>
                              </w:rPr>
                              <w:t>μεγεθών</w:t>
                            </w:r>
                            <w:r w:rsidRPr="00B06DEC">
                              <w:rPr>
                                <w:rFonts w:cs="Calibri"/>
                                <w:b/>
                                <w:color w:val="6691AB"/>
                                <w:szCs w:val="20"/>
                                <w:lang w:val="el-GR"/>
                              </w:rPr>
                              <w:t xml:space="preserve"> </w:t>
                            </w:r>
                            <w:r>
                              <w:rPr>
                                <w:rFonts w:cs="Calibri"/>
                                <w:b/>
                                <w:color w:val="6691AB"/>
                                <w:szCs w:val="20"/>
                                <w:lang w:val="el-GR"/>
                              </w:rPr>
                              <w:t>της</w:t>
                            </w:r>
                            <w:r w:rsidRPr="00B06DEC">
                              <w:rPr>
                                <w:rFonts w:cs="Calibri"/>
                                <w:b/>
                                <w:color w:val="6691AB"/>
                                <w:szCs w:val="20"/>
                                <w:lang w:val="el-GR"/>
                              </w:rPr>
                              <w:t xml:space="preserve"> </w:t>
                            </w:r>
                            <w:r>
                              <w:rPr>
                                <w:rFonts w:cs="Calibri"/>
                                <w:b/>
                                <w:color w:val="6691AB"/>
                                <w:szCs w:val="20"/>
                                <w:lang w:val="el-GR"/>
                              </w:rPr>
                              <w:t xml:space="preserve">Τράπεζας </w:t>
                            </w:r>
                          </w:p>
                          <w:p w14:paraId="0877CDC4" w14:textId="77777777" w:rsidR="00EA6E38" w:rsidRPr="00514A7C" w:rsidRDefault="00EA6E38" w:rsidP="002E0B02">
                            <w:pPr>
                              <w:pStyle w:val="ListParagraph"/>
                              <w:tabs>
                                <w:tab w:val="left" w:pos="10348"/>
                              </w:tabs>
                              <w:spacing w:before="120" w:line="300" w:lineRule="exact"/>
                              <w:ind w:left="2268" w:right="258"/>
                              <w:jc w:val="both"/>
                              <w:rPr>
                                <w:rFonts w:cs="Calibri"/>
                                <w:sz w:val="12"/>
                                <w:szCs w:val="20"/>
                                <w:lang w:val="el-GR"/>
                              </w:rPr>
                            </w:pPr>
                          </w:p>
                          <w:p w14:paraId="3A1690DE" w14:textId="28985C44" w:rsidR="00EA6E38" w:rsidRPr="005E4FE0" w:rsidRDefault="00EA6E38" w:rsidP="00973E5D">
                            <w:pPr>
                              <w:pStyle w:val="ListParagraph"/>
                              <w:numPr>
                                <w:ilvl w:val="0"/>
                                <w:numId w:val="27"/>
                              </w:numPr>
                              <w:tabs>
                                <w:tab w:val="left" w:pos="10348"/>
                              </w:tabs>
                              <w:spacing w:before="120" w:line="300" w:lineRule="exact"/>
                              <w:ind w:left="2268" w:right="258" w:hanging="283"/>
                              <w:jc w:val="both"/>
                              <w:rPr>
                                <w:rFonts w:cs="Calibri"/>
                                <w:sz w:val="20"/>
                                <w:szCs w:val="20"/>
                                <w:lang w:val="el-GR"/>
                              </w:rPr>
                            </w:pPr>
                            <w:r>
                              <w:rPr>
                                <w:rFonts w:cs="Calibri"/>
                                <w:sz w:val="20"/>
                                <w:szCs w:val="20"/>
                                <w:lang w:val="el-GR"/>
                              </w:rPr>
                              <w:t>Η άσκηση προσομοίωσης ακραίων καταστάσεων</w:t>
                            </w:r>
                            <w:r w:rsidRPr="005E4FE0">
                              <w:rPr>
                                <w:rFonts w:cs="Calibri"/>
                                <w:sz w:val="20"/>
                                <w:szCs w:val="20"/>
                                <w:lang w:val="el-GR"/>
                              </w:rPr>
                              <w:t xml:space="preserve"> </w:t>
                            </w:r>
                            <w:r w:rsidRPr="002E0B02">
                              <w:rPr>
                                <w:rFonts w:cs="Calibri"/>
                                <w:sz w:val="20"/>
                                <w:szCs w:val="20"/>
                                <w:lang w:val="el-GR"/>
                              </w:rPr>
                              <w:t>που διεξήγαγε η Ευρωπαϊκή Κεντρική Τράπεζα</w:t>
                            </w:r>
                            <w:r w:rsidRPr="005E4FE0">
                              <w:rPr>
                                <w:rFonts w:cs="Calibri"/>
                                <w:sz w:val="20"/>
                                <w:szCs w:val="20"/>
                                <w:lang w:val="el-GR"/>
                              </w:rPr>
                              <w:t xml:space="preserve">, </w:t>
                            </w:r>
                            <w:r w:rsidRPr="002E0B02">
                              <w:rPr>
                                <w:rFonts w:cs="Calibri"/>
                                <w:sz w:val="20"/>
                                <w:szCs w:val="20"/>
                                <w:lang w:val="el-GR"/>
                              </w:rPr>
                              <w:t>βασίσθηκε</w:t>
                            </w:r>
                            <w:r>
                              <w:rPr>
                                <w:rFonts w:cs="Calibri"/>
                                <w:sz w:val="20"/>
                                <w:szCs w:val="20"/>
                                <w:lang w:val="el-GR"/>
                              </w:rPr>
                              <w:t xml:space="preserve"> σ</w:t>
                            </w:r>
                            <w:r w:rsidRPr="002E0B02">
                              <w:rPr>
                                <w:rFonts w:cs="Calibri"/>
                                <w:sz w:val="20"/>
                                <w:szCs w:val="20"/>
                                <w:lang w:val="el-GR"/>
                              </w:rPr>
                              <w:t>τα μεγέθη του Δεκ</w:t>
                            </w:r>
                            <w:r>
                              <w:rPr>
                                <w:rFonts w:cs="Calibri"/>
                                <w:sz w:val="20"/>
                                <w:szCs w:val="20"/>
                                <w:lang w:val="el-GR"/>
                              </w:rPr>
                              <w:t>.</w:t>
                            </w:r>
                            <w:r w:rsidRPr="002E0B02">
                              <w:rPr>
                                <w:rFonts w:cs="Calibri"/>
                                <w:sz w:val="20"/>
                                <w:szCs w:val="20"/>
                                <w:lang w:val="el-GR"/>
                              </w:rPr>
                              <w:t>20</w:t>
                            </w:r>
                            <w:r w:rsidRPr="005E4FE0">
                              <w:rPr>
                                <w:rFonts w:cs="Calibri"/>
                                <w:sz w:val="20"/>
                                <w:szCs w:val="20"/>
                                <w:lang w:val="el-GR"/>
                              </w:rPr>
                              <w:t xml:space="preserve"> </w:t>
                            </w:r>
                            <w:r>
                              <w:rPr>
                                <w:rFonts w:cs="Calibri"/>
                                <w:sz w:val="20"/>
                                <w:szCs w:val="20"/>
                                <w:lang w:val="el-GR"/>
                              </w:rPr>
                              <w:t xml:space="preserve">και </w:t>
                            </w:r>
                            <w:r w:rsidRPr="002E0B02">
                              <w:rPr>
                                <w:rFonts w:cs="Calibri"/>
                                <w:sz w:val="20"/>
                                <w:szCs w:val="20"/>
                                <w:lang w:val="el-GR"/>
                              </w:rPr>
                              <w:t>στην παραδοχή στατικού ισολογισμού</w:t>
                            </w:r>
                          </w:p>
                          <w:p w14:paraId="1B5EA6D0" w14:textId="02CD4EED" w:rsidR="00EA6E38" w:rsidRPr="005E4FE0" w:rsidRDefault="00EA6E38" w:rsidP="00CB5BC6">
                            <w:pPr>
                              <w:pStyle w:val="ListParagraph"/>
                              <w:numPr>
                                <w:ilvl w:val="0"/>
                                <w:numId w:val="27"/>
                              </w:numPr>
                              <w:tabs>
                                <w:tab w:val="left" w:pos="10348"/>
                              </w:tabs>
                              <w:spacing w:before="120" w:line="300" w:lineRule="exact"/>
                              <w:ind w:left="2268" w:right="258" w:hanging="283"/>
                              <w:jc w:val="both"/>
                              <w:rPr>
                                <w:rFonts w:cs="Calibri"/>
                                <w:sz w:val="20"/>
                                <w:szCs w:val="20"/>
                                <w:lang w:val="el-GR"/>
                              </w:rPr>
                            </w:pPr>
                            <w:r w:rsidRPr="005E4FE0">
                              <w:rPr>
                                <w:rFonts w:cs="Calibri"/>
                                <w:sz w:val="20"/>
                                <w:szCs w:val="20"/>
                                <w:lang w:val="el-GR"/>
                              </w:rPr>
                              <w:t xml:space="preserve">Υπό το βασικό σενάριο, ο συνολικός δείκτης εποπτικών κεφαλαίων σε πλήρη εφαρμογή του εποπτικού πλαισίου της Βασιλείας ΙΙΙ </w:t>
                            </w:r>
                            <w:r>
                              <w:rPr>
                                <w:rFonts w:cs="Calibri"/>
                                <w:sz w:val="20"/>
                                <w:szCs w:val="20"/>
                                <w:lang w:val="el-GR"/>
                              </w:rPr>
                              <w:t>διαμορφώθηκε</w:t>
                            </w:r>
                            <w:r w:rsidRPr="005E4FE0">
                              <w:rPr>
                                <w:rFonts w:cs="Calibri"/>
                                <w:sz w:val="20"/>
                                <w:szCs w:val="20"/>
                                <w:lang w:val="el-GR"/>
                              </w:rPr>
                              <w:t xml:space="preserve"> στο 17,1%, ενώ ο δείκτης κεφαλαίων </w:t>
                            </w:r>
                            <w:r w:rsidRPr="00CB5BC6">
                              <w:rPr>
                                <w:rFonts w:cs="Calibri"/>
                                <w:sz w:val="20"/>
                                <w:szCs w:val="20"/>
                              </w:rPr>
                              <w:t>CET</w:t>
                            </w:r>
                            <w:r w:rsidRPr="005E4FE0">
                              <w:rPr>
                                <w:rFonts w:cs="Calibri"/>
                                <w:sz w:val="20"/>
                                <w:szCs w:val="20"/>
                                <w:lang w:val="el-GR"/>
                              </w:rPr>
                              <w:t>1 στο 15,0% στα τέλη του έτους 2023. Το βασικό σενάριο καταλήγει σε αύξηση των κεφαλαιακών δεικτών κατά περίπου 36</w:t>
                            </w:r>
                            <w:r>
                              <w:rPr>
                                <w:rFonts w:cs="Calibri"/>
                                <w:sz w:val="20"/>
                                <w:szCs w:val="20"/>
                                <w:lang w:val="el-GR"/>
                              </w:rPr>
                              <w:t>5 μονάδες βάσης έναντι του 2020</w:t>
                            </w:r>
                          </w:p>
                          <w:p w14:paraId="796F8386" w14:textId="5C785C73" w:rsidR="00EA6E38" w:rsidRPr="005E4FE0" w:rsidRDefault="00EA6E38" w:rsidP="00CB5BC6">
                            <w:pPr>
                              <w:pStyle w:val="ListParagraph"/>
                              <w:numPr>
                                <w:ilvl w:val="0"/>
                                <w:numId w:val="27"/>
                              </w:numPr>
                              <w:tabs>
                                <w:tab w:val="left" w:pos="10348"/>
                              </w:tabs>
                              <w:spacing w:before="120" w:line="300" w:lineRule="exact"/>
                              <w:ind w:left="2268" w:right="258" w:hanging="283"/>
                              <w:jc w:val="both"/>
                              <w:rPr>
                                <w:rFonts w:cs="Calibri"/>
                                <w:sz w:val="20"/>
                                <w:szCs w:val="20"/>
                                <w:lang w:val="el-GR"/>
                              </w:rPr>
                            </w:pPr>
                            <w:r w:rsidRPr="005E4FE0">
                              <w:rPr>
                                <w:rFonts w:cs="Calibri"/>
                                <w:sz w:val="20"/>
                                <w:szCs w:val="20"/>
                                <w:lang w:val="el-GR"/>
                              </w:rPr>
                              <w:t xml:space="preserve">Το δυσμενές σενάριο οδηγεί σε μείωση των κεφαλαιακών δεικτών κατά περίπου 480 μονάδες βάσης για την τριετή περίοδο. Η αντίστοιχη μείωση στην άσκηση </w:t>
                            </w:r>
                            <w:r>
                              <w:rPr>
                                <w:rFonts w:cs="Calibri"/>
                                <w:sz w:val="20"/>
                                <w:szCs w:val="20"/>
                                <w:lang w:val="el-GR"/>
                              </w:rPr>
                              <w:t xml:space="preserve">που διενεργήθηκε το </w:t>
                            </w:r>
                            <w:r w:rsidRPr="005E4FE0">
                              <w:rPr>
                                <w:rFonts w:cs="Calibri"/>
                                <w:sz w:val="20"/>
                                <w:szCs w:val="20"/>
                                <w:lang w:val="el-GR"/>
                              </w:rPr>
                              <w:t xml:space="preserve">2018 ήταν περίπου 770 μονάδες βάσης. Οι δείκτες κεφαλαίων σε πλήρη εφαρμογή του εποπτικού πλαισίου της Βασιλείας ΙΙΙ για το τέλος του έτους 2023 διαμορφώνονται σε 8,6% για τον συνολικό δείκτη κεφαλαίων και 6,5% για τον δείκτη </w:t>
                            </w:r>
                            <w:r w:rsidRPr="00CB5BC6">
                              <w:rPr>
                                <w:rFonts w:cs="Calibri"/>
                                <w:sz w:val="20"/>
                                <w:szCs w:val="20"/>
                                <w:lang w:val="en"/>
                              </w:rPr>
                              <w:t>CET</w:t>
                            </w:r>
                            <w:r>
                              <w:rPr>
                                <w:rFonts w:cs="Calibri"/>
                                <w:sz w:val="20"/>
                                <w:szCs w:val="20"/>
                                <w:lang w:val="el-GR"/>
                              </w:rPr>
                              <w:t>1</w:t>
                            </w:r>
                          </w:p>
                          <w:p w14:paraId="47D0CDCD" w14:textId="1B4DAD16" w:rsidR="00EA6E38" w:rsidRPr="005E4FE0" w:rsidRDefault="00EA6E38" w:rsidP="005E4FE0">
                            <w:pPr>
                              <w:pStyle w:val="ListParagraph"/>
                              <w:numPr>
                                <w:ilvl w:val="0"/>
                                <w:numId w:val="27"/>
                              </w:numPr>
                              <w:tabs>
                                <w:tab w:val="left" w:pos="10348"/>
                              </w:tabs>
                              <w:spacing w:before="120" w:line="300" w:lineRule="exact"/>
                              <w:ind w:left="2268" w:right="258" w:hanging="283"/>
                              <w:jc w:val="both"/>
                              <w:rPr>
                                <w:rFonts w:cs="Calibri"/>
                                <w:sz w:val="20"/>
                                <w:szCs w:val="20"/>
                                <w:lang w:val="el-GR"/>
                              </w:rPr>
                            </w:pPr>
                            <w:r w:rsidRPr="005E4FE0">
                              <w:rPr>
                                <w:rFonts w:cs="Calibri"/>
                                <w:sz w:val="20"/>
                                <w:szCs w:val="20"/>
                                <w:lang w:val="el-GR"/>
                              </w:rPr>
                              <w:t xml:space="preserve">Λαμβάνοντας υπόψη </w:t>
                            </w:r>
                            <w:r>
                              <w:rPr>
                                <w:rFonts w:cs="Calibri"/>
                                <w:sz w:val="20"/>
                                <w:szCs w:val="20"/>
                                <w:lang w:val="el-GR"/>
                              </w:rPr>
                              <w:t>την αύξηση μετοχικού κεφαλαίου του 2021,</w:t>
                            </w:r>
                            <w:r w:rsidRPr="005E4FE0">
                              <w:rPr>
                                <w:rFonts w:cs="Calibri"/>
                                <w:sz w:val="20"/>
                                <w:szCs w:val="20"/>
                                <w:lang w:val="el-GR"/>
                              </w:rPr>
                              <w:t xml:space="preserve"> ο δείκτης CET1 με πλήρη ενσωμάτωση της Βασιλείας ΙΙΙ </w:t>
                            </w:r>
                            <w:r>
                              <w:rPr>
                                <w:rFonts w:cs="Calibri"/>
                                <w:sz w:val="20"/>
                                <w:szCs w:val="20"/>
                                <w:lang w:val="el-GR"/>
                              </w:rPr>
                              <w:t>υπό</w:t>
                            </w:r>
                            <w:r w:rsidRPr="005E4FE0">
                              <w:rPr>
                                <w:rFonts w:cs="Calibri"/>
                                <w:sz w:val="20"/>
                                <w:szCs w:val="20"/>
                                <w:lang w:val="el-GR"/>
                              </w:rPr>
                              <w:t xml:space="preserve"> το δυσμενές σενάριο για το 2023 ανέρχεται σε περίπου 10,0%</w:t>
                            </w:r>
                            <w:r>
                              <w:rPr>
                                <w:rFonts w:cs="Calibri"/>
                                <w:sz w:val="20"/>
                                <w:szCs w:val="20"/>
                                <w:lang w:val="el-GR"/>
                              </w:rPr>
                              <w:t>,</w:t>
                            </w:r>
                            <w:r w:rsidRPr="005E4FE0">
                              <w:rPr>
                                <w:rFonts w:ascii="Trebuchet MS" w:eastAsia="Times New Roman" w:hAnsi="Trebuchet MS" w:cs="Times New Roman"/>
                                <w:color w:val="3F3927"/>
                                <w:sz w:val="20"/>
                                <w:szCs w:val="20"/>
                                <w:lang w:val="el-GR" w:eastAsia="el-GR"/>
                              </w:rPr>
                              <w:t xml:space="preserve"> </w:t>
                            </w:r>
                            <w:r w:rsidRPr="005E4FE0">
                              <w:rPr>
                                <w:rFonts w:cs="Calibri"/>
                                <w:sz w:val="20"/>
                                <w:szCs w:val="20"/>
                                <w:lang w:val="el-GR"/>
                              </w:rPr>
                              <w:t>σύ</w:t>
                            </w:r>
                            <w:r>
                              <w:rPr>
                                <w:rFonts w:cs="Calibri"/>
                                <w:sz w:val="20"/>
                                <w:szCs w:val="20"/>
                                <w:lang w:val="el-GR"/>
                              </w:rPr>
                              <w:t>μφωνα με pro forma υπολογισμούς</w:t>
                            </w:r>
                            <w:r w:rsidRPr="005E4FE0">
                              <w:rPr>
                                <w:rFonts w:cs="Calibri"/>
                                <w:sz w:val="20"/>
                                <w:szCs w:val="20"/>
                                <w:lang w:val="el-GR"/>
                              </w:rPr>
                              <w:t xml:space="preserve">, </w:t>
                            </w:r>
                            <w:r>
                              <w:rPr>
                                <w:rFonts w:cs="Calibri"/>
                                <w:sz w:val="20"/>
                                <w:szCs w:val="20"/>
                                <w:lang w:val="el-GR"/>
                              </w:rPr>
                              <w:t>σε ευθυγράμμιση με τον μέσο όρο του ευρωπαικού τραπεζικού κλάδου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4BD79" id="_x0000_s1029" style="position:absolute;left:0;text-align:left;margin-left:0;margin-top:9.5pt;width:541.6pt;height:625.4pt;z-index:-2516172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" fillcolor="#e6e6e1" stroked="f">
                <o:lock v:ext="edit" aspectratio="t"/>
                <v:textbox>
                  <w:txbxContent>
                    <w:p w14:paraId="081DA02F" w14:textId="77777777" w:rsidR="00EA6E38" w:rsidRPr="00514A7C" w:rsidRDefault="00EA6E38" w:rsidP="00AE4B81">
                      <w:pPr>
                        <w:pStyle w:val="ListParagraph"/>
                        <w:tabs>
                          <w:tab w:val="left" w:pos="5040"/>
                          <w:tab w:val="left" w:pos="10348"/>
                        </w:tabs>
                        <w:spacing w:after="120"/>
                        <w:ind w:left="2552" w:right="258"/>
                        <w:contextualSpacing w:val="0"/>
                        <w:rPr>
                          <w:rFonts w:cs="Calibri"/>
                          <w:b/>
                          <w:color w:val="6691AB"/>
                          <w:sz w:val="4"/>
                          <w:szCs w:val="20"/>
                          <w:lang w:val="el-GR"/>
                        </w:rPr>
                      </w:pPr>
                    </w:p>
                    <w:p w14:paraId="2741B634" w14:textId="1EEC74CD" w:rsidR="00EA6E38" w:rsidRDefault="00EA6E38" w:rsidP="00BB2BB5">
                      <w:pPr>
                        <w:pStyle w:val="ListParagraph"/>
                        <w:tabs>
                          <w:tab w:val="left" w:pos="5040"/>
                          <w:tab w:val="left" w:pos="10348"/>
                        </w:tabs>
                        <w:spacing w:line="276" w:lineRule="auto"/>
                        <w:ind w:left="1985" w:right="258"/>
                        <w:contextualSpacing w:val="0"/>
                        <w:rPr>
                          <w:rFonts w:cs="Calibri"/>
                          <w:b/>
                          <w:color w:val="6691AB"/>
                          <w:szCs w:val="20"/>
                          <w:lang w:val="el-GR"/>
                        </w:rPr>
                      </w:pPr>
                      <w:r>
                        <w:rPr>
                          <w:rFonts w:cs="Calibri"/>
                          <w:b/>
                          <w:color w:val="6691AB"/>
                          <w:szCs w:val="20"/>
                          <w:lang w:val="el-GR"/>
                        </w:rPr>
                        <w:t>Οι ενέργειες του 2021 μετασχηματίζουν την Πειραιώς σε όλα τα επίπεδα</w:t>
                      </w:r>
                    </w:p>
                    <w:p w14:paraId="358AC195" w14:textId="77777777" w:rsidR="00EA6E38" w:rsidRPr="00263465" w:rsidRDefault="00EA6E38" w:rsidP="00BB2BB5">
                      <w:pPr>
                        <w:pStyle w:val="ListParagraph"/>
                        <w:tabs>
                          <w:tab w:val="left" w:pos="5040"/>
                          <w:tab w:val="left" w:pos="10348"/>
                        </w:tabs>
                        <w:spacing w:line="276" w:lineRule="auto"/>
                        <w:ind w:left="1985" w:right="258"/>
                        <w:contextualSpacing w:val="0"/>
                        <w:rPr>
                          <w:rFonts w:eastAsiaTheme="minorHAnsi" w:cs="Calibri"/>
                          <w:bCs/>
                          <w:sz w:val="10"/>
                          <w:szCs w:val="20"/>
                          <w:lang w:val="el-GR"/>
                        </w:rPr>
                      </w:pPr>
                    </w:p>
                    <w:p w14:paraId="1EF7AE80" w14:textId="64BBF3E1" w:rsidR="00EA6E38" w:rsidRPr="00B56784" w:rsidRDefault="00EA6E38" w:rsidP="00B56784">
                      <w:pPr>
                        <w:numPr>
                          <w:ilvl w:val="0"/>
                          <w:numId w:val="27"/>
                        </w:numPr>
                        <w:tabs>
                          <w:tab w:val="left" w:pos="10348"/>
                        </w:tabs>
                        <w:spacing w:after="0" w:line="300" w:lineRule="exact"/>
                        <w:ind w:left="2268" w:right="258" w:hanging="283"/>
                        <w:contextualSpacing/>
                        <w:jc w:val="both"/>
                        <w:rPr>
                          <w:rFonts w:cs="Calibri"/>
                          <w:bCs/>
                          <w:sz w:val="20"/>
                          <w:szCs w:val="20"/>
                        </w:rPr>
                      </w:pPr>
                      <w:r w:rsidRPr="00B56784">
                        <w:rPr>
                          <w:rFonts w:cs="Calibri"/>
                          <w:bCs/>
                          <w:sz w:val="20"/>
                          <w:szCs w:val="20"/>
                        </w:rPr>
                        <w:t xml:space="preserve">Μείωση </w:t>
                      </w:r>
                      <w:proofErr w:type="spellStart"/>
                      <w:r w:rsidRPr="00B56784">
                        <w:rPr>
                          <w:rFonts w:cs="Calibri"/>
                          <w:bCs/>
                          <w:sz w:val="20"/>
                          <w:szCs w:val="20"/>
                        </w:rPr>
                        <w:t>NPEs</w:t>
                      </w:r>
                      <w:proofErr w:type="spellEnd"/>
                      <w:r w:rsidRPr="00B56784">
                        <w:rPr>
                          <w:rFonts w:cs="Calibri"/>
                          <w:bCs/>
                          <w:sz w:val="20"/>
                          <w:szCs w:val="20"/>
                        </w:rPr>
                        <w:t xml:space="preserve"> </w:t>
                      </w:r>
                      <w:r>
                        <w:rPr>
                          <w:rFonts w:cs="Calibri"/>
                          <w:bCs/>
                          <w:sz w:val="20"/>
                          <w:szCs w:val="20"/>
                        </w:rPr>
                        <w:t>κατά</w:t>
                      </w:r>
                      <w:r w:rsidRPr="00B56784">
                        <w:rPr>
                          <w:rFonts w:cs="Calibri"/>
                          <w:bCs/>
                          <w:sz w:val="20"/>
                          <w:szCs w:val="20"/>
                        </w:rPr>
                        <w:t xml:space="preserve"> €13,5 δισ. </w:t>
                      </w:r>
                      <w:r>
                        <w:rPr>
                          <w:rFonts w:cs="Calibri"/>
                          <w:bCs/>
                          <w:sz w:val="20"/>
                          <w:szCs w:val="20"/>
                        </w:rPr>
                        <w:t>τ</w:t>
                      </w:r>
                      <w:r w:rsidRPr="00B56784">
                        <w:rPr>
                          <w:rFonts w:cs="Calibri"/>
                          <w:bCs/>
                          <w:sz w:val="20"/>
                          <w:szCs w:val="20"/>
                        </w:rPr>
                        <w:t xml:space="preserve">ο </w:t>
                      </w:r>
                      <w:r>
                        <w:rPr>
                          <w:rFonts w:cs="Calibri"/>
                          <w:bCs/>
                          <w:sz w:val="20"/>
                          <w:szCs w:val="20"/>
                        </w:rPr>
                        <w:t>πρώτο</w:t>
                      </w:r>
                      <w:r w:rsidRPr="00B56784">
                        <w:rPr>
                          <w:rFonts w:cs="Calibri"/>
                          <w:bCs/>
                          <w:sz w:val="20"/>
                          <w:szCs w:val="20"/>
                        </w:rPr>
                        <w:t xml:space="preserve"> </w:t>
                      </w:r>
                      <w:r>
                        <w:rPr>
                          <w:rFonts w:cs="Calibri"/>
                          <w:bCs/>
                          <w:sz w:val="20"/>
                          <w:szCs w:val="20"/>
                        </w:rPr>
                        <w:t>εξάμηνο</w:t>
                      </w:r>
                      <w:r w:rsidRPr="00B56784">
                        <w:rPr>
                          <w:rFonts w:cs="Calibri"/>
                          <w:bCs/>
                          <w:sz w:val="20"/>
                          <w:szCs w:val="20"/>
                        </w:rPr>
                        <w:t xml:space="preserve">, </w:t>
                      </w:r>
                      <w:r>
                        <w:rPr>
                          <w:rFonts w:cs="Calibri"/>
                          <w:bCs/>
                          <w:sz w:val="20"/>
                          <w:szCs w:val="20"/>
                        </w:rPr>
                        <w:t>με</w:t>
                      </w:r>
                      <w:r w:rsidRPr="00B56784">
                        <w:rPr>
                          <w:rFonts w:cs="Calibri"/>
                          <w:bCs/>
                          <w:sz w:val="20"/>
                          <w:szCs w:val="20"/>
                        </w:rPr>
                        <w:t xml:space="preserve"> </w:t>
                      </w:r>
                      <w:r>
                        <w:rPr>
                          <w:rFonts w:cs="Calibri"/>
                          <w:bCs/>
                          <w:sz w:val="20"/>
                          <w:szCs w:val="20"/>
                        </w:rPr>
                        <w:t>το</w:t>
                      </w:r>
                      <w:r w:rsidRPr="00B56784">
                        <w:rPr>
                          <w:rFonts w:cs="Calibri"/>
                          <w:bCs/>
                          <w:sz w:val="20"/>
                          <w:szCs w:val="20"/>
                        </w:rPr>
                        <w:t xml:space="preserve"> </w:t>
                      </w:r>
                      <w:r>
                        <w:rPr>
                          <w:rFonts w:cs="Calibri"/>
                          <w:bCs/>
                          <w:sz w:val="20"/>
                          <w:szCs w:val="20"/>
                        </w:rPr>
                        <w:t>δείκτη</w:t>
                      </w:r>
                      <w:r w:rsidRPr="00B56784">
                        <w:rPr>
                          <w:rFonts w:cs="Calibri"/>
                          <w:bCs/>
                          <w:sz w:val="20"/>
                          <w:szCs w:val="20"/>
                        </w:rPr>
                        <w:t xml:space="preserve"> NPE στο 23%</w:t>
                      </w:r>
                      <w:r>
                        <w:rPr>
                          <w:rFonts w:cs="Calibri"/>
                          <w:bCs/>
                          <w:sz w:val="20"/>
                          <w:szCs w:val="20"/>
                        </w:rPr>
                        <w:t xml:space="preserve"> (μείωση στο μισό σε έξι μήνες). Σ</w:t>
                      </w:r>
                      <w:r w:rsidRPr="00B56784">
                        <w:rPr>
                          <w:rFonts w:cs="Calibri"/>
                          <w:bCs/>
                          <w:sz w:val="20"/>
                          <w:szCs w:val="20"/>
                        </w:rPr>
                        <w:t xml:space="preserve">ε τροχιά επίτευξης </w:t>
                      </w:r>
                      <w:r>
                        <w:rPr>
                          <w:rFonts w:cs="Calibri"/>
                          <w:bCs/>
                          <w:sz w:val="20"/>
                          <w:szCs w:val="20"/>
                        </w:rPr>
                        <w:t xml:space="preserve">για </w:t>
                      </w:r>
                      <w:r w:rsidRPr="00B56784">
                        <w:rPr>
                          <w:rFonts w:cs="Calibri"/>
                          <w:bCs/>
                          <w:sz w:val="20"/>
                          <w:szCs w:val="20"/>
                        </w:rPr>
                        <w:t>μονοψήφιο δείκτη NPE</w:t>
                      </w:r>
                    </w:p>
                    <w:p w14:paraId="7FB7DE4B" w14:textId="256D8591" w:rsidR="00EA6E38" w:rsidRPr="00B56784" w:rsidRDefault="00EA6E38" w:rsidP="00F71E32">
                      <w:pPr>
                        <w:numPr>
                          <w:ilvl w:val="0"/>
                          <w:numId w:val="27"/>
                        </w:numPr>
                        <w:tabs>
                          <w:tab w:val="left" w:pos="10348"/>
                        </w:tabs>
                        <w:spacing w:after="0" w:line="300" w:lineRule="exact"/>
                        <w:ind w:left="2268" w:right="258" w:hanging="283"/>
                        <w:contextualSpacing/>
                        <w:jc w:val="both"/>
                        <w:rPr>
                          <w:rFonts w:cs="Calibri"/>
                          <w:bCs/>
                          <w:sz w:val="20"/>
                          <w:szCs w:val="20"/>
                        </w:rPr>
                      </w:pPr>
                      <w:r w:rsidRPr="00B56784">
                        <w:rPr>
                          <w:rFonts w:cs="Calibri"/>
                          <w:bCs/>
                          <w:sz w:val="20"/>
                          <w:szCs w:val="20"/>
                        </w:rPr>
                        <w:t xml:space="preserve">Εκταμιεύσεις δανείων ύψους €3,4 δισ. </w:t>
                      </w:r>
                      <w:r>
                        <w:rPr>
                          <w:rFonts w:cs="Calibri"/>
                          <w:bCs/>
                          <w:sz w:val="20"/>
                          <w:szCs w:val="20"/>
                        </w:rPr>
                        <w:t xml:space="preserve">το πρώτο εξάμηνο, </w:t>
                      </w:r>
                      <w:r w:rsidRPr="00B56784">
                        <w:rPr>
                          <w:rFonts w:cs="Calibri"/>
                          <w:bCs/>
                          <w:sz w:val="20"/>
                          <w:szCs w:val="20"/>
                        </w:rPr>
                        <w:t xml:space="preserve">σε τροχιά υπέρβασης του στόχου εκταμίευσης νέων δανείων ύψους €5,7 δισ. </w:t>
                      </w:r>
                      <w:r>
                        <w:rPr>
                          <w:rFonts w:cs="Calibri"/>
                          <w:bCs/>
                          <w:sz w:val="20"/>
                          <w:szCs w:val="20"/>
                        </w:rPr>
                        <w:t>που έχει τεθεί για το έτος</w:t>
                      </w:r>
                      <w:r w:rsidRPr="00B56784">
                        <w:rPr>
                          <w:rFonts w:cs="Calibri"/>
                          <w:bCs/>
                          <w:sz w:val="20"/>
                          <w:szCs w:val="20"/>
                        </w:rPr>
                        <w:t xml:space="preserve"> 2021</w:t>
                      </w:r>
                    </w:p>
                    <w:p w14:paraId="3361D238" w14:textId="681FB701" w:rsidR="00EA6E38" w:rsidRPr="00F71E32" w:rsidRDefault="00EA6E38" w:rsidP="00F71E32">
                      <w:pPr>
                        <w:numPr>
                          <w:ilvl w:val="0"/>
                          <w:numId w:val="27"/>
                        </w:numPr>
                        <w:tabs>
                          <w:tab w:val="left" w:pos="10348"/>
                        </w:tabs>
                        <w:spacing w:after="0" w:line="300" w:lineRule="exact"/>
                        <w:ind w:left="2268" w:right="258" w:hanging="283"/>
                        <w:contextualSpacing/>
                        <w:jc w:val="both"/>
                        <w:rPr>
                          <w:rFonts w:cs="Calibri"/>
                          <w:bCs/>
                          <w:sz w:val="20"/>
                          <w:szCs w:val="20"/>
                        </w:rPr>
                      </w:pPr>
                      <w:r>
                        <w:rPr>
                          <w:rFonts w:cs="Calibri"/>
                          <w:bCs/>
                          <w:sz w:val="20"/>
                          <w:szCs w:val="20"/>
                        </w:rPr>
                        <w:t>Ισχυρή</w:t>
                      </w:r>
                      <w:r w:rsidRPr="00F71E32">
                        <w:rPr>
                          <w:rFonts w:cs="Calibri"/>
                          <w:bCs/>
                          <w:sz w:val="20"/>
                          <w:szCs w:val="20"/>
                        </w:rPr>
                        <w:t xml:space="preserve"> </w:t>
                      </w:r>
                      <w:r>
                        <w:rPr>
                          <w:rFonts w:cs="Calibri"/>
                          <w:bCs/>
                          <w:sz w:val="20"/>
                          <w:szCs w:val="20"/>
                        </w:rPr>
                        <w:t>αύξηση</w:t>
                      </w:r>
                      <w:r w:rsidRPr="00F71E32">
                        <w:rPr>
                          <w:rFonts w:cs="Calibri"/>
                          <w:bCs/>
                          <w:sz w:val="20"/>
                          <w:szCs w:val="20"/>
                        </w:rPr>
                        <w:t xml:space="preserve"> </w:t>
                      </w:r>
                      <w:r>
                        <w:rPr>
                          <w:rFonts w:cs="Calibri"/>
                          <w:bCs/>
                          <w:sz w:val="20"/>
                          <w:szCs w:val="20"/>
                        </w:rPr>
                        <w:t xml:space="preserve">των υπό διαχείριση κεφαλαίων πελατών κατά </w:t>
                      </w:r>
                      <w:r w:rsidRPr="00F71E32">
                        <w:rPr>
                          <w:rFonts w:cs="Calibri"/>
                          <w:bCs/>
                          <w:sz w:val="20"/>
                          <w:szCs w:val="20"/>
                        </w:rPr>
                        <w:t>€2</w:t>
                      </w:r>
                      <w:r>
                        <w:rPr>
                          <w:rFonts w:cs="Calibri"/>
                          <w:bCs/>
                          <w:sz w:val="20"/>
                          <w:szCs w:val="20"/>
                        </w:rPr>
                        <w:t>,</w:t>
                      </w:r>
                      <w:r w:rsidRPr="00F71E32">
                        <w:rPr>
                          <w:rFonts w:cs="Calibri"/>
                          <w:bCs/>
                          <w:sz w:val="20"/>
                          <w:szCs w:val="20"/>
                        </w:rPr>
                        <w:t>2</w:t>
                      </w:r>
                      <w:r>
                        <w:rPr>
                          <w:rFonts w:cs="Calibri"/>
                          <w:bCs/>
                          <w:sz w:val="20"/>
                          <w:szCs w:val="20"/>
                        </w:rPr>
                        <w:t xml:space="preserve"> δισ. το πρώτο εξάμηνο</w:t>
                      </w:r>
                    </w:p>
                    <w:p w14:paraId="435CEB4C" w14:textId="6A991E1F" w:rsidR="00EA6E38" w:rsidRPr="00F71E32" w:rsidRDefault="00EA6E38" w:rsidP="00F71E32">
                      <w:pPr>
                        <w:numPr>
                          <w:ilvl w:val="0"/>
                          <w:numId w:val="27"/>
                        </w:numPr>
                        <w:tabs>
                          <w:tab w:val="left" w:pos="10348"/>
                        </w:tabs>
                        <w:spacing w:after="0" w:line="300" w:lineRule="exact"/>
                        <w:ind w:left="2268" w:right="258" w:hanging="283"/>
                        <w:contextualSpacing/>
                        <w:jc w:val="both"/>
                        <w:rPr>
                          <w:rFonts w:cs="Calibri"/>
                          <w:bCs/>
                          <w:sz w:val="20"/>
                          <w:szCs w:val="20"/>
                        </w:rPr>
                      </w:pPr>
                      <w:r w:rsidRPr="00F71E32">
                        <w:rPr>
                          <w:rFonts w:cs="Calibri"/>
                          <w:bCs/>
                          <w:sz w:val="20"/>
                          <w:szCs w:val="20"/>
                        </w:rPr>
                        <w:t xml:space="preserve">Αύξηση 18% σε ετήσια βάση στα επαναλαμβανόμενα κέρδη προ φόρων και προβλέψεων από βασικές τραπεζικές δραστηριότητες (έσοδα από τόκους και προμήθειες μείον λειτουργικά έξοδα) στα €505 εκατ. </w:t>
                      </w:r>
                    </w:p>
                    <w:p w14:paraId="47341F3E" w14:textId="77777777" w:rsidR="00EA6E38" w:rsidRPr="00F71E32" w:rsidRDefault="00EA6E38" w:rsidP="00F71E32">
                      <w:pPr>
                        <w:numPr>
                          <w:ilvl w:val="0"/>
                          <w:numId w:val="27"/>
                        </w:numPr>
                        <w:tabs>
                          <w:tab w:val="left" w:pos="10348"/>
                        </w:tabs>
                        <w:spacing w:after="0" w:line="300" w:lineRule="exact"/>
                        <w:ind w:left="2268" w:right="258" w:hanging="283"/>
                        <w:contextualSpacing/>
                        <w:jc w:val="both"/>
                        <w:rPr>
                          <w:rFonts w:cs="Calibri"/>
                          <w:bCs/>
                          <w:sz w:val="20"/>
                          <w:szCs w:val="20"/>
                        </w:rPr>
                      </w:pPr>
                      <w:r w:rsidRPr="00F71E32">
                        <w:rPr>
                          <w:rFonts w:cs="Calibri"/>
                          <w:bCs/>
                          <w:sz w:val="20"/>
                          <w:szCs w:val="20"/>
                        </w:rPr>
                        <w:t xml:space="preserve">Λειτουργικά έξοδα σε επαναλαμβανόμενη βάση στα €444 εκατ., μειωμένα κατά 2% σε ετήσια βάση </w:t>
                      </w:r>
                    </w:p>
                    <w:p w14:paraId="75FBFF62" w14:textId="3DDD6FCE" w:rsidR="00EA6E38" w:rsidRPr="00F71E32" w:rsidRDefault="00EA6E38" w:rsidP="00F71E32">
                      <w:pPr>
                        <w:numPr>
                          <w:ilvl w:val="0"/>
                          <w:numId w:val="27"/>
                        </w:numPr>
                        <w:tabs>
                          <w:tab w:val="left" w:pos="10348"/>
                        </w:tabs>
                        <w:spacing w:after="0" w:line="300" w:lineRule="exact"/>
                        <w:ind w:left="2268" w:right="258" w:hanging="283"/>
                        <w:contextualSpacing/>
                        <w:jc w:val="both"/>
                        <w:rPr>
                          <w:rFonts w:cs="Calibri"/>
                          <w:bCs/>
                          <w:sz w:val="20"/>
                          <w:szCs w:val="20"/>
                        </w:rPr>
                      </w:pPr>
                      <w:r w:rsidRPr="00F71E32">
                        <w:rPr>
                          <w:rFonts w:cs="Calibri"/>
                          <w:bCs/>
                          <w:sz w:val="20"/>
                          <w:szCs w:val="20"/>
                        </w:rPr>
                        <w:t xml:space="preserve">Δείκτης κόστους προς έσοδα (σε επαναλαμβανόμενη βάση) στο 41% το πρώτο εξάμηνο, </w:t>
                      </w:r>
                      <w:r>
                        <w:rPr>
                          <w:rFonts w:cs="Calibri"/>
                          <w:bCs/>
                          <w:sz w:val="20"/>
                          <w:szCs w:val="20"/>
                        </w:rPr>
                        <w:t>έναντι</w:t>
                      </w:r>
                      <w:r w:rsidRPr="00F71E32">
                        <w:rPr>
                          <w:rFonts w:cs="Calibri"/>
                          <w:bCs/>
                          <w:sz w:val="20"/>
                          <w:szCs w:val="20"/>
                        </w:rPr>
                        <w:t xml:space="preserve"> 4</w:t>
                      </w:r>
                      <w:r>
                        <w:rPr>
                          <w:rFonts w:cs="Calibri"/>
                          <w:bCs/>
                          <w:sz w:val="20"/>
                          <w:szCs w:val="20"/>
                        </w:rPr>
                        <w:t>9</w:t>
                      </w:r>
                      <w:r w:rsidRPr="00F71E32">
                        <w:rPr>
                          <w:rFonts w:cs="Calibri"/>
                          <w:bCs/>
                          <w:sz w:val="20"/>
                          <w:szCs w:val="20"/>
                        </w:rPr>
                        <w:t xml:space="preserve">% </w:t>
                      </w:r>
                      <w:r>
                        <w:rPr>
                          <w:rFonts w:cs="Calibri"/>
                          <w:bCs/>
                          <w:sz w:val="20"/>
                          <w:szCs w:val="20"/>
                        </w:rPr>
                        <w:t>την ίδια περίοδο του 2020</w:t>
                      </w:r>
                    </w:p>
                    <w:p w14:paraId="3CAE4752" w14:textId="77777777" w:rsidR="00EA6E38" w:rsidRPr="00084CF0" w:rsidRDefault="00EA6E38" w:rsidP="00BB2BB5">
                      <w:pPr>
                        <w:numPr>
                          <w:ilvl w:val="0"/>
                          <w:numId w:val="27"/>
                        </w:numPr>
                        <w:tabs>
                          <w:tab w:val="left" w:pos="10348"/>
                        </w:tabs>
                        <w:spacing w:after="0" w:line="300" w:lineRule="exact"/>
                        <w:ind w:left="2268" w:right="258" w:hanging="283"/>
                        <w:contextualSpacing/>
                        <w:jc w:val="both"/>
                        <w:rPr>
                          <w:rFonts w:cs="Calibri"/>
                          <w:bCs/>
                          <w:sz w:val="20"/>
                          <w:szCs w:val="20"/>
                        </w:rPr>
                      </w:pPr>
                      <w:r w:rsidRPr="00F71E32">
                        <w:rPr>
                          <w:rFonts w:cs="Calibri"/>
                          <w:bCs/>
                          <w:sz w:val="20"/>
                          <w:szCs w:val="20"/>
                        </w:rPr>
                        <w:t xml:space="preserve">Κέρδη προ φόρων στα €358 εκατ. το πρώτο εξάμηνο 2021, </w:t>
                      </w:r>
                      <w:r>
                        <w:rPr>
                          <w:rFonts w:cs="Calibri"/>
                          <w:bCs/>
                          <w:sz w:val="20"/>
                          <w:szCs w:val="20"/>
                        </w:rPr>
                        <w:t>διπλάσιο</w:t>
                      </w:r>
                      <w:r w:rsidRPr="00084CF0">
                        <w:rPr>
                          <w:rFonts w:cs="Calibri"/>
                          <w:bCs/>
                          <w:sz w:val="20"/>
                          <w:szCs w:val="20"/>
                        </w:rPr>
                        <w:t xml:space="preserve"> </w:t>
                      </w:r>
                      <w:r>
                        <w:rPr>
                          <w:rFonts w:cs="Calibri"/>
                          <w:bCs/>
                          <w:sz w:val="20"/>
                          <w:szCs w:val="20"/>
                        </w:rPr>
                        <w:t>σε</w:t>
                      </w:r>
                      <w:r w:rsidRPr="00084CF0">
                        <w:rPr>
                          <w:rFonts w:cs="Calibri"/>
                          <w:bCs/>
                          <w:sz w:val="20"/>
                          <w:szCs w:val="20"/>
                        </w:rPr>
                        <w:t xml:space="preserve"> </w:t>
                      </w:r>
                      <w:r>
                        <w:rPr>
                          <w:rFonts w:cs="Calibri"/>
                          <w:bCs/>
                          <w:sz w:val="20"/>
                          <w:szCs w:val="20"/>
                        </w:rPr>
                        <w:t xml:space="preserve">σύγκριση με την αντίστοιχη περίοδο του </w:t>
                      </w:r>
                      <w:r w:rsidRPr="00084CF0">
                        <w:rPr>
                          <w:rFonts w:cs="Calibri"/>
                          <w:bCs/>
                          <w:sz w:val="20"/>
                          <w:szCs w:val="20"/>
                        </w:rPr>
                        <w:t>2020</w:t>
                      </w:r>
                    </w:p>
                    <w:p w14:paraId="7F527A94" w14:textId="109F2D6F" w:rsidR="00EA6E38" w:rsidRPr="002A24AC" w:rsidRDefault="00EA6E38" w:rsidP="00BB2BB5">
                      <w:pPr>
                        <w:numPr>
                          <w:ilvl w:val="0"/>
                          <w:numId w:val="27"/>
                        </w:numPr>
                        <w:tabs>
                          <w:tab w:val="left" w:pos="10348"/>
                        </w:tabs>
                        <w:spacing w:after="0" w:line="300" w:lineRule="exact"/>
                        <w:ind w:left="2268" w:right="258" w:hanging="283"/>
                        <w:contextualSpacing/>
                        <w:jc w:val="both"/>
                        <w:rPr>
                          <w:rFonts w:cs="Calibri"/>
                          <w:bCs/>
                          <w:sz w:val="20"/>
                          <w:szCs w:val="20"/>
                        </w:rPr>
                      </w:pPr>
                      <w:r w:rsidRPr="002A24AC">
                        <w:rPr>
                          <w:rFonts w:cs="Calibri"/>
                          <w:bCs/>
                          <w:sz w:val="20"/>
                          <w:szCs w:val="20"/>
                        </w:rPr>
                        <w:t xml:space="preserve">Λαμβάνοντας υπόψη τις ζημίες από τη μείωση των </w:t>
                      </w:r>
                      <w:r w:rsidRPr="002A24AC">
                        <w:rPr>
                          <w:rFonts w:cs="Calibri"/>
                          <w:bCs/>
                          <w:sz w:val="20"/>
                          <w:szCs w:val="20"/>
                          <w:lang w:val="en-US"/>
                        </w:rPr>
                        <w:t>NPEs</w:t>
                      </w:r>
                      <w:r w:rsidRPr="002A24AC">
                        <w:rPr>
                          <w:rFonts w:cs="Calibri"/>
                          <w:bCs/>
                          <w:sz w:val="20"/>
                          <w:szCs w:val="20"/>
                        </w:rPr>
                        <w:t>, το καθαρό αποτέλεσμα διαμορφώθηκε σε  -€2,5 δισ. το πρώτο εξάμηνο, σύμφωνα με τις εκτιμήσεις και το κεφαλαιακό πλάνο</w:t>
                      </w:r>
                    </w:p>
                    <w:p w14:paraId="03249D49" w14:textId="60F53CBF" w:rsidR="00EA6E38" w:rsidRPr="006A72B6" w:rsidRDefault="00EA6E38" w:rsidP="00BB2BB5">
                      <w:pPr>
                        <w:pStyle w:val="ListParagraph"/>
                        <w:numPr>
                          <w:ilvl w:val="0"/>
                          <w:numId w:val="27"/>
                        </w:numPr>
                        <w:tabs>
                          <w:tab w:val="left" w:pos="10348"/>
                        </w:tabs>
                        <w:spacing w:line="300" w:lineRule="exact"/>
                        <w:ind w:left="2268" w:right="258" w:hanging="283"/>
                        <w:jc w:val="both"/>
                        <w:rPr>
                          <w:rFonts w:cs="Calibri"/>
                          <w:bCs/>
                          <w:sz w:val="20"/>
                          <w:szCs w:val="20"/>
                          <w:lang w:val="el-GR"/>
                        </w:rPr>
                      </w:pPr>
                      <w:r w:rsidRPr="001A45AD">
                        <w:rPr>
                          <w:rFonts w:cs="Calibri"/>
                          <w:sz w:val="20"/>
                          <w:szCs w:val="20"/>
                          <w:lang w:val="el-GR"/>
                        </w:rPr>
                        <w:t>Συνολικός δεί</w:t>
                      </w:r>
                      <w:r>
                        <w:rPr>
                          <w:rFonts w:cs="Calibri"/>
                          <w:sz w:val="20"/>
                          <w:szCs w:val="20"/>
                          <w:lang w:val="el-GR"/>
                        </w:rPr>
                        <w:t xml:space="preserve">κτης κεφαλαιακής </w:t>
                      </w:r>
                      <w:r w:rsidRPr="005E4FE0">
                        <w:rPr>
                          <w:rFonts w:cs="Calibri"/>
                          <w:bCs/>
                          <w:sz w:val="20"/>
                          <w:szCs w:val="20"/>
                          <w:lang w:val="el-GR"/>
                        </w:rPr>
                        <w:t>επάρκειας στο 16</w:t>
                      </w:r>
                      <w:r>
                        <w:rPr>
                          <w:rFonts w:cs="Calibri"/>
                          <w:bCs/>
                          <w:sz w:val="20"/>
                          <w:szCs w:val="20"/>
                          <w:lang w:val="el-GR"/>
                        </w:rPr>
                        <w:t>%</w:t>
                      </w:r>
                      <w:r w:rsidRPr="005E4FE0">
                        <w:rPr>
                          <w:rFonts w:cs="Calibri"/>
                          <w:bCs/>
                          <w:sz w:val="20"/>
                          <w:szCs w:val="20"/>
                          <w:lang w:val="el-GR"/>
                        </w:rPr>
                        <w:t xml:space="preserve">, με δείκτη </w:t>
                      </w:r>
                      <w:proofErr w:type="spellStart"/>
                      <w:r>
                        <w:rPr>
                          <w:rFonts w:cs="Calibri"/>
                          <w:bCs/>
                          <w:sz w:val="20"/>
                          <w:szCs w:val="20"/>
                          <w:lang w:val="el-GR"/>
                        </w:rPr>
                        <w:t>κεφαλαικής</w:t>
                      </w:r>
                      <w:proofErr w:type="spellEnd"/>
                      <w:r>
                        <w:rPr>
                          <w:rFonts w:cs="Calibri"/>
                          <w:bCs/>
                          <w:sz w:val="20"/>
                          <w:szCs w:val="20"/>
                          <w:lang w:val="el-GR"/>
                        </w:rPr>
                        <w:t xml:space="preserve"> επάρκειας </w:t>
                      </w:r>
                      <w:r w:rsidRPr="005E4FE0">
                        <w:rPr>
                          <w:rFonts w:cs="Calibri"/>
                          <w:bCs/>
                          <w:sz w:val="20"/>
                          <w:szCs w:val="20"/>
                          <w:lang w:val="el-GR"/>
                        </w:rPr>
                        <w:t>σε πλήρη εφαρμογή του εποπτικού πλαισίου της Βασιλείας ΙΙΙ στο 14%</w:t>
                      </w:r>
                      <w:r>
                        <w:rPr>
                          <w:rFonts w:cs="Calibri"/>
                          <w:bCs/>
                          <w:sz w:val="20"/>
                          <w:szCs w:val="20"/>
                          <w:lang w:val="el-GR"/>
                        </w:rPr>
                        <w:t>,</w:t>
                      </w:r>
                      <w:r w:rsidRPr="005E4FE0">
                        <w:rPr>
                          <w:rFonts w:cs="Calibri"/>
                          <w:bCs/>
                          <w:sz w:val="20"/>
                          <w:szCs w:val="20"/>
                          <w:lang w:val="el-GR"/>
                        </w:rPr>
                        <w:t xml:space="preserve"> </w:t>
                      </w:r>
                      <w:proofErr w:type="spellStart"/>
                      <w:r w:rsidRPr="006A72B6">
                        <w:rPr>
                          <w:rFonts w:cs="Calibri"/>
                          <w:bCs/>
                          <w:sz w:val="20"/>
                          <w:szCs w:val="20"/>
                        </w:rPr>
                        <w:t>proforma</w:t>
                      </w:r>
                      <w:proofErr w:type="spellEnd"/>
                      <w:r w:rsidRPr="005E4FE0">
                        <w:rPr>
                          <w:rFonts w:cs="Calibri"/>
                          <w:bCs/>
                          <w:sz w:val="20"/>
                          <w:szCs w:val="20"/>
                          <w:lang w:val="el-GR"/>
                        </w:rPr>
                        <w:t xml:space="preserve"> για τ</w:t>
                      </w:r>
                      <w:r>
                        <w:rPr>
                          <w:rFonts w:cs="Calibri"/>
                          <w:bCs/>
                          <w:sz w:val="20"/>
                          <w:szCs w:val="20"/>
                          <w:lang w:val="el-GR"/>
                        </w:rPr>
                        <w:t xml:space="preserve">ην επίπτωση </w:t>
                      </w:r>
                      <w:r w:rsidRPr="006A72B6">
                        <w:rPr>
                          <w:rFonts w:cs="Calibri"/>
                          <w:bCs/>
                          <w:sz w:val="20"/>
                          <w:szCs w:val="20"/>
                        </w:rPr>
                        <w:t>Sunrise</w:t>
                      </w:r>
                      <w:r w:rsidRPr="005E4FE0">
                        <w:rPr>
                          <w:rFonts w:cs="Calibri"/>
                          <w:bCs/>
                          <w:sz w:val="20"/>
                          <w:szCs w:val="20"/>
                          <w:lang w:val="el-GR"/>
                        </w:rPr>
                        <w:t xml:space="preserve"> 1</w:t>
                      </w:r>
                      <w:r w:rsidRPr="001A45AD">
                        <w:rPr>
                          <w:rFonts w:cs="Calibri"/>
                          <w:sz w:val="20"/>
                          <w:szCs w:val="20"/>
                          <w:lang w:val="el-GR"/>
                        </w:rPr>
                        <w:t xml:space="preserve">  </w:t>
                      </w:r>
                      <w:r>
                        <w:rPr>
                          <w:rFonts w:cs="Calibri"/>
                          <w:sz w:val="20"/>
                          <w:szCs w:val="20"/>
                          <w:lang w:val="el-GR"/>
                        </w:rPr>
                        <w:t>στο σταθμισμένο έναντι κινδύνων ενεργητικό</w:t>
                      </w:r>
                    </w:p>
                    <w:p w14:paraId="5908AF4E" w14:textId="77777777" w:rsidR="00EA6E38" w:rsidRDefault="00EA6E38" w:rsidP="00973E5D">
                      <w:pPr>
                        <w:pStyle w:val="ListParagraph"/>
                        <w:tabs>
                          <w:tab w:val="left" w:pos="5040"/>
                          <w:tab w:val="left" w:pos="10348"/>
                        </w:tabs>
                        <w:ind w:left="1985" w:right="258"/>
                        <w:rPr>
                          <w:rFonts w:cs="Calibri"/>
                          <w:b/>
                          <w:color w:val="6691AB"/>
                          <w:szCs w:val="20"/>
                          <w:lang w:val="el-GR"/>
                        </w:rPr>
                      </w:pPr>
                    </w:p>
                    <w:p w14:paraId="354BDAD3" w14:textId="58E5580F" w:rsidR="00EA6E38" w:rsidRPr="00B06DEC" w:rsidRDefault="00EA6E38" w:rsidP="00973E5D">
                      <w:pPr>
                        <w:pStyle w:val="ListParagraph"/>
                        <w:tabs>
                          <w:tab w:val="left" w:pos="5040"/>
                          <w:tab w:val="left" w:pos="10348"/>
                        </w:tabs>
                        <w:ind w:left="1985" w:right="258"/>
                        <w:rPr>
                          <w:rFonts w:cs="Calibri"/>
                          <w:b/>
                          <w:color w:val="6691AB"/>
                          <w:szCs w:val="20"/>
                          <w:lang w:val="el-GR"/>
                        </w:rPr>
                      </w:pPr>
                      <w:r>
                        <w:rPr>
                          <w:rFonts w:cs="Calibri"/>
                          <w:b/>
                          <w:color w:val="6691AB"/>
                          <w:szCs w:val="20"/>
                          <w:lang w:val="el-GR"/>
                        </w:rPr>
                        <w:t xml:space="preserve">Αποτελέσματα </w:t>
                      </w:r>
                      <w:r w:rsidRPr="00973E5D">
                        <w:rPr>
                          <w:rFonts w:cs="Calibri"/>
                          <w:b/>
                          <w:color w:val="6691AB"/>
                          <w:szCs w:val="20"/>
                          <w:lang w:val="el-GR"/>
                        </w:rPr>
                        <w:t>Άσκηση</w:t>
                      </w:r>
                      <w:r>
                        <w:rPr>
                          <w:rFonts w:cs="Calibri"/>
                          <w:b/>
                          <w:color w:val="6691AB"/>
                          <w:szCs w:val="20"/>
                          <w:lang w:val="el-GR"/>
                        </w:rPr>
                        <w:t>ς</w:t>
                      </w:r>
                      <w:r w:rsidRPr="00973E5D">
                        <w:rPr>
                          <w:rFonts w:cs="Calibri"/>
                          <w:b/>
                          <w:color w:val="6691AB"/>
                          <w:szCs w:val="20"/>
                          <w:lang w:val="el-GR"/>
                        </w:rPr>
                        <w:t xml:space="preserve"> </w:t>
                      </w:r>
                      <w:proofErr w:type="spellStart"/>
                      <w:r w:rsidRPr="00973E5D">
                        <w:rPr>
                          <w:rFonts w:cs="Calibri"/>
                          <w:b/>
                          <w:color w:val="6691AB"/>
                          <w:szCs w:val="20"/>
                          <w:lang w:val="el-GR"/>
                        </w:rPr>
                        <w:t>Προσομοίωσης</w:t>
                      </w:r>
                      <w:r>
                        <w:rPr>
                          <w:rFonts w:cs="Calibri"/>
                          <w:b/>
                          <w:color w:val="6691AB"/>
                          <w:szCs w:val="20"/>
                          <w:lang w:val="el-GR"/>
                        </w:rPr>
                        <w:t>ς</w:t>
                      </w:r>
                      <w:proofErr w:type="spellEnd"/>
                      <w:r w:rsidRPr="00973E5D">
                        <w:rPr>
                          <w:rFonts w:cs="Calibri"/>
                          <w:b/>
                          <w:color w:val="6691AB"/>
                          <w:szCs w:val="20"/>
                          <w:lang w:val="el-GR"/>
                        </w:rPr>
                        <w:t xml:space="preserve"> Ακραίων Καταστάσεων </w:t>
                      </w:r>
                      <w:r>
                        <w:rPr>
                          <w:rFonts w:cs="Calibri"/>
                          <w:b/>
                          <w:color w:val="6691AB"/>
                          <w:szCs w:val="20"/>
                          <w:lang w:val="el-GR"/>
                        </w:rPr>
                        <w:t>(</w:t>
                      </w:r>
                      <w:proofErr w:type="spellStart"/>
                      <w:r w:rsidRPr="00BB2BB5">
                        <w:rPr>
                          <w:rFonts w:cs="Calibri"/>
                          <w:b/>
                          <w:color w:val="6691AB"/>
                          <w:szCs w:val="20"/>
                          <w:lang w:val="el-GR"/>
                        </w:rPr>
                        <w:t>Stress</w:t>
                      </w:r>
                      <w:proofErr w:type="spellEnd"/>
                      <w:r w:rsidRPr="00B06DEC">
                        <w:rPr>
                          <w:rFonts w:cs="Calibri"/>
                          <w:b/>
                          <w:color w:val="6691AB"/>
                          <w:szCs w:val="20"/>
                          <w:lang w:val="el-GR"/>
                        </w:rPr>
                        <w:t xml:space="preserve"> </w:t>
                      </w:r>
                      <w:proofErr w:type="spellStart"/>
                      <w:r w:rsidRPr="00BB2BB5">
                        <w:rPr>
                          <w:rFonts w:cs="Calibri"/>
                          <w:b/>
                          <w:color w:val="6691AB"/>
                          <w:szCs w:val="20"/>
                          <w:lang w:val="el-GR"/>
                        </w:rPr>
                        <w:t>Test</w:t>
                      </w:r>
                      <w:proofErr w:type="spellEnd"/>
                      <w:r>
                        <w:rPr>
                          <w:rFonts w:cs="Calibri"/>
                          <w:b/>
                          <w:color w:val="6691AB"/>
                          <w:szCs w:val="20"/>
                          <w:lang w:val="el-GR"/>
                        </w:rPr>
                        <w:t>)</w:t>
                      </w:r>
                      <w:r w:rsidRPr="00B06DEC">
                        <w:rPr>
                          <w:rFonts w:cs="Calibri"/>
                          <w:b/>
                          <w:color w:val="6691AB"/>
                          <w:szCs w:val="20"/>
                          <w:lang w:val="el-GR"/>
                        </w:rPr>
                        <w:t xml:space="preserve"> </w:t>
                      </w:r>
                      <w:r>
                        <w:rPr>
                          <w:rFonts w:cs="Calibri"/>
                          <w:b/>
                          <w:color w:val="6691AB"/>
                          <w:szCs w:val="20"/>
                          <w:lang w:val="el-GR"/>
                        </w:rPr>
                        <w:t xml:space="preserve">2020 </w:t>
                      </w:r>
                      <w:r w:rsidRPr="00973E5D">
                        <w:rPr>
                          <w:rFonts w:cs="Calibri"/>
                          <w:b/>
                          <w:color w:val="6691AB"/>
                          <w:szCs w:val="20"/>
                          <w:lang w:val="el-GR"/>
                        </w:rPr>
                        <w:t>του Ενιαίου Εποπτικού Μηχανισμού (SSM)</w:t>
                      </w:r>
                      <w:r>
                        <w:rPr>
                          <w:rFonts w:cs="Calibri"/>
                          <w:b/>
                          <w:color w:val="6691AB"/>
                          <w:szCs w:val="20"/>
                          <w:lang w:val="el-GR"/>
                        </w:rPr>
                        <w:t xml:space="preserve"> που</w:t>
                      </w:r>
                      <w:r w:rsidRPr="009B19A4">
                        <w:rPr>
                          <w:rFonts w:cs="Calibri"/>
                          <w:b/>
                          <w:color w:val="6691AB"/>
                          <w:szCs w:val="20"/>
                          <w:lang w:val="el-GR"/>
                        </w:rPr>
                        <w:t xml:space="preserve"> </w:t>
                      </w:r>
                      <w:r>
                        <w:rPr>
                          <w:rFonts w:cs="Calibri"/>
                          <w:b/>
                          <w:color w:val="6691AB"/>
                          <w:szCs w:val="20"/>
                          <w:lang w:val="el-GR"/>
                        </w:rPr>
                        <w:t>καταδεικνύουν</w:t>
                      </w:r>
                      <w:r w:rsidRPr="00B06DEC">
                        <w:rPr>
                          <w:rFonts w:cs="Calibri"/>
                          <w:b/>
                          <w:color w:val="6691AB"/>
                          <w:szCs w:val="20"/>
                          <w:lang w:val="el-GR"/>
                        </w:rPr>
                        <w:t xml:space="preserve"> </w:t>
                      </w:r>
                      <w:r>
                        <w:rPr>
                          <w:rFonts w:cs="Calibri"/>
                          <w:b/>
                          <w:color w:val="6691AB"/>
                          <w:szCs w:val="20"/>
                          <w:lang w:val="el-GR"/>
                        </w:rPr>
                        <w:t>την</w:t>
                      </w:r>
                      <w:r w:rsidRPr="00B06DEC">
                        <w:rPr>
                          <w:rFonts w:cs="Calibri"/>
                          <w:b/>
                          <w:color w:val="6691AB"/>
                          <w:szCs w:val="20"/>
                          <w:lang w:val="el-GR"/>
                        </w:rPr>
                        <w:t xml:space="preserve"> </w:t>
                      </w:r>
                      <w:r>
                        <w:rPr>
                          <w:rFonts w:cs="Calibri"/>
                          <w:b/>
                          <w:color w:val="6691AB"/>
                          <w:szCs w:val="20"/>
                          <w:lang w:val="el-GR"/>
                        </w:rPr>
                        <w:t>ενίσχυση των</w:t>
                      </w:r>
                      <w:r w:rsidRPr="00B06DEC">
                        <w:rPr>
                          <w:rFonts w:cs="Calibri"/>
                          <w:b/>
                          <w:color w:val="6691AB"/>
                          <w:szCs w:val="20"/>
                          <w:lang w:val="el-GR"/>
                        </w:rPr>
                        <w:t xml:space="preserve"> </w:t>
                      </w:r>
                      <w:r>
                        <w:rPr>
                          <w:rFonts w:cs="Calibri"/>
                          <w:b/>
                          <w:color w:val="6691AB"/>
                          <w:szCs w:val="20"/>
                          <w:lang w:val="el-GR"/>
                        </w:rPr>
                        <w:t>θεμελιωδών</w:t>
                      </w:r>
                      <w:r w:rsidRPr="00B06DEC">
                        <w:rPr>
                          <w:rFonts w:cs="Calibri"/>
                          <w:b/>
                          <w:color w:val="6691AB"/>
                          <w:szCs w:val="20"/>
                          <w:lang w:val="el-GR"/>
                        </w:rPr>
                        <w:t xml:space="preserve"> </w:t>
                      </w:r>
                      <w:r>
                        <w:rPr>
                          <w:rFonts w:cs="Calibri"/>
                          <w:b/>
                          <w:color w:val="6691AB"/>
                          <w:szCs w:val="20"/>
                          <w:lang w:val="el-GR"/>
                        </w:rPr>
                        <w:t>μεγεθών</w:t>
                      </w:r>
                      <w:r w:rsidRPr="00B06DEC">
                        <w:rPr>
                          <w:rFonts w:cs="Calibri"/>
                          <w:b/>
                          <w:color w:val="6691AB"/>
                          <w:szCs w:val="20"/>
                          <w:lang w:val="el-GR"/>
                        </w:rPr>
                        <w:t xml:space="preserve"> </w:t>
                      </w:r>
                      <w:r>
                        <w:rPr>
                          <w:rFonts w:cs="Calibri"/>
                          <w:b/>
                          <w:color w:val="6691AB"/>
                          <w:szCs w:val="20"/>
                          <w:lang w:val="el-GR"/>
                        </w:rPr>
                        <w:t>της</w:t>
                      </w:r>
                      <w:r w:rsidRPr="00B06DEC">
                        <w:rPr>
                          <w:rFonts w:cs="Calibri"/>
                          <w:b/>
                          <w:color w:val="6691AB"/>
                          <w:szCs w:val="20"/>
                          <w:lang w:val="el-GR"/>
                        </w:rPr>
                        <w:t xml:space="preserve"> </w:t>
                      </w:r>
                      <w:r>
                        <w:rPr>
                          <w:rFonts w:cs="Calibri"/>
                          <w:b/>
                          <w:color w:val="6691AB"/>
                          <w:szCs w:val="20"/>
                          <w:lang w:val="el-GR"/>
                        </w:rPr>
                        <w:t xml:space="preserve">Τράπεζας </w:t>
                      </w:r>
                    </w:p>
                    <w:p w14:paraId="0877CDC4" w14:textId="77777777" w:rsidR="00EA6E38" w:rsidRPr="00514A7C" w:rsidRDefault="00EA6E38" w:rsidP="002E0B02">
                      <w:pPr>
                        <w:pStyle w:val="ListParagraph"/>
                        <w:tabs>
                          <w:tab w:val="left" w:pos="10348"/>
                        </w:tabs>
                        <w:spacing w:before="120" w:line="300" w:lineRule="exact"/>
                        <w:ind w:left="2268" w:right="258"/>
                        <w:jc w:val="both"/>
                        <w:rPr>
                          <w:rFonts w:cs="Calibri"/>
                          <w:sz w:val="12"/>
                          <w:szCs w:val="20"/>
                          <w:lang w:val="el-GR"/>
                        </w:rPr>
                      </w:pPr>
                    </w:p>
                    <w:p w14:paraId="3A1690DE" w14:textId="28985C44" w:rsidR="00EA6E38" w:rsidRPr="005E4FE0" w:rsidRDefault="00EA6E38" w:rsidP="00973E5D">
                      <w:pPr>
                        <w:pStyle w:val="ListParagraph"/>
                        <w:numPr>
                          <w:ilvl w:val="0"/>
                          <w:numId w:val="27"/>
                        </w:numPr>
                        <w:tabs>
                          <w:tab w:val="left" w:pos="10348"/>
                        </w:tabs>
                        <w:spacing w:before="120" w:line="300" w:lineRule="exact"/>
                        <w:ind w:left="2268" w:right="258" w:hanging="283"/>
                        <w:jc w:val="both"/>
                        <w:rPr>
                          <w:rFonts w:cs="Calibri"/>
                          <w:sz w:val="20"/>
                          <w:szCs w:val="20"/>
                          <w:lang w:val="el-GR"/>
                        </w:rPr>
                      </w:pPr>
                      <w:r>
                        <w:rPr>
                          <w:rFonts w:cs="Calibri"/>
                          <w:sz w:val="20"/>
                          <w:szCs w:val="20"/>
                          <w:lang w:val="el-GR"/>
                        </w:rPr>
                        <w:t>Η άσκηση προσομοίωσης ακραίων καταστάσεων</w:t>
                      </w:r>
                      <w:r w:rsidRPr="005E4FE0">
                        <w:rPr>
                          <w:rFonts w:cs="Calibri"/>
                          <w:sz w:val="20"/>
                          <w:szCs w:val="20"/>
                          <w:lang w:val="el-GR"/>
                        </w:rPr>
                        <w:t xml:space="preserve"> </w:t>
                      </w:r>
                      <w:r w:rsidRPr="002E0B02">
                        <w:rPr>
                          <w:rFonts w:cs="Calibri"/>
                          <w:sz w:val="20"/>
                          <w:szCs w:val="20"/>
                          <w:lang w:val="el-GR"/>
                        </w:rPr>
                        <w:t>που διεξήγαγε η Ευρωπαϊκή Κεντρική Τράπεζα</w:t>
                      </w:r>
                      <w:r w:rsidRPr="005E4FE0">
                        <w:rPr>
                          <w:rFonts w:cs="Calibri"/>
                          <w:sz w:val="20"/>
                          <w:szCs w:val="20"/>
                          <w:lang w:val="el-GR"/>
                        </w:rPr>
                        <w:t xml:space="preserve">, </w:t>
                      </w:r>
                      <w:r w:rsidRPr="002E0B02">
                        <w:rPr>
                          <w:rFonts w:cs="Calibri"/>
                          <w:sz w:val="20"/>
                          <w:szCs w:val="20"/>
                          <w:lang w:val="el-GR"/>
                        </w:rPr>
                        <w:t>βασίσθηκε</w:t>
                      </w:r>
                      <w:r>
                        <w:rPr>
                          <w:rFonts w:cs="Calibri"/>
                          <w:sz w:val="20"/>
                          <w:szCs w:val="20"/>
                          <w:lang w:val="el-GR"/>
                        </w:rPr>
                        <w:t xml:space="preserve"> σ</w:t>
                      </w:r>
                      <w:r w:rsidRPr="002E0B02">
                        <w:rPr>
                          <w:rFonts w:cs="Calibri"/>
                          <w:sz w:val="20"/>
                          <w:szCs w:val="20"/>
                          <w:lang w:val="el-GR"/>
                        </w:rPr>
                        <w:t>τα μεγέθη του Δεκ</w:t>
                      </w:r>
                      <w:r>
                        <w:rPr>
                          <w:rFonts w:cs="Calibri"/>
                          <w:sz w:val="20"/>
                          <w:szCs w:val="20"/>
                          <w:lang w:val="el-GR"/>
                        </w:rPr>
                        <w:t>.</w:t>
                      </w:r>
                      <w:r w:rsidRPr="002E0B02">
                        <w:rPr>
                          <w:rFonts w:cs="Calibri"/>
                          <w:sz w:val="20"/>
                          <w:szCs w:val="20"/>
                          <w:lang w:val="el-GR"/>
                        </w:rPr>
                        <w:t>20</w:t>
                      </w:r>
                      <w:r w:rsidRPr="005E4FE0">
                        <w:rPr>
                          <w:rFonts w:cs="Calibri"/>
                          <w:sz w:val="20"/>
                          <w:szCs w:val="20"/>
                          <w:lang w:val="el-GR"/>
                        </w:rPr>
                        <w:t xml:space="preserve"> </w:t>
                      </w:r>
                      <w:r>
                        <w:rPr>
                          <w:rFonts w:cs="Calibri"/>
                          <w:sz w:val="20"/>
                          <w:szCs w:val="20"/>
                          <w:lang w:val="el-GR"/>
                        </w:rPr>
                        <w:t xml:space="preserve">και </w:t>
                      </w:r>
                      <w:r w:rsidRPr="002E0B02">
                        <w:rPr>
                          <w:rFonts w:cs="Calibri"/>
                          <w:sz w:val="20"/>
                          <w:szCs w:val="20"/>
                          <w:lang w:val="el-GR"/>
                        </w:rPr>
                        <w:t>στην παραδοχή στατικού ισολογισμού</w:t>
                      </w:r>
                    </w:p>
                    <w:p w14:paraId="1B5EA6D0" w14:textId="02CD4EED" w:rsidR="00EA6E38" w:rsidRPr="005E4FE0" w:rsidRDefault="00EA6E38" w:rsidP="00CB5BC6">
                      <w:pPr>
                        <w:pStyle w:val="ListParagraph"/>
                        <w:numPr>
                          <w:ilvl w:val="0"/>
                          <w:numId w:val="27"/>
                        </w:numPr>
                        <w:tabs>
                          <w:tab w:val="left" w:pos="10348"/>
                        </w:tabs>
                        <w:spacing w:before="120" w:line="300" w:lineRule="exact"/>
                        <w:ind w:left="2268" w:right="258" w:hanging="283"/>
                        <w:jc w:val="both"/>
                        <w:rPr>
                          <w:rFonts w:cs="Calibri"/>
                          <w:sz w:val="20"/>
                          <w:szCs w:val="20"/>
                          <w:lang w:val="el-GR"/>
                        </w:rPr>
                      </w:pPr>
                      <w:r w:rsidRPr="005E4FE0">
                        <w:rPr>
                          <w:rFonts w:cs="Calibri"/>
                          <w:sz w:val="20"/>
                          <w:szCs w:val="20"/>
                          <w:lang w:val="el-GR"/>
                        </w:rPr>
                        <w:t xml:space="preserve">Υπό το βασικό σενάριο, ο συνολικός δείκτης εποπτικών κεφαλαίων σε πλήρη εφαρμογή του εποπτικού πλαισίου της Βασιλείας ΙΙΙ </w:t>
                      </w:r>
                      <w:r>
                        <w:rPr>
                          <w:rFonts w:cs="Calibri"/>
                          <w:sz w:val="20"/>
                          <w:szCs w:val="20"/>
                          <w:lang w:val="el-GR"/>
                        </w:rPr>
                        <w:t>διαμορφώθηκε</w:t>
                      </w:r>
                      <w:r w:rsidRPr="005E4FE0">
                        <w:rPr>
                          <w:rFonts w:cs="Calibri"/>
                          <w:sz w:val="20"/>
                          <w:szCs w:val="20"/>
                          <w:lang w:val="el-GR"/>
                        </w:rPr>
                        <w:t xml:space="preserve"> στο 17,1%, ενώ ο δείκτης κεφαλαίων </w:t>
                      </w:r>
                      <w:r w:rsidRPr="00CB5BC6">
                        <w:rPr>
                          <w:rFonts w:cs="Calibri"/>
                          <w:sz w:val="20"/>
                          <w:szCs w:val="20"/>
                        </w:rPr>
                        <w:t>CET</w:t>
                      </w:r>
                      <w:r w:rsidRPr="005E4FE0">
                        <w:rPr>
                          <w:rFonts w:cs="Calibri"/>
                          <w:sz w:val="20"/>
                          <w:szCs w:val="20"/>
                          <w:lang w:val="el-GR"/>
                        </w:rPr>
                        <w:t>1 στο 15,0% στα τέλη του έτους 2023. Το βασικό σενάριο καταλήγει σε αύξηση των κεφαλαιακών δεικτών κατά περίπου 36</w:t>
                      </w:r>
                      <w:r>
                        <w:rPr>
                          <w:rFonts w:cs="Calibri"/>
                          <w:sz w:val="20"/>
                          <w:szCs w:val="20"/>
                          <w:lang w:val="el-GR"/>
                        </w:rPr>
                        <w:t>5 μονάδες βάσης έναντι του 2020</w:t>
                      </w:r>
                    </w:p>
                    <w:p w14:paraId="796F8386" w14:textId="5C785C73" w:rsidR="00EA6E38" w:rsidRPr="005E4FE0" w:rsidRDefault="00EA6E38" w:rsidP="00CB5BC6">
                      <w:pPr>
                        <w:pStyle w:val="ListParagraph"/>
                        <w:numPr>
                          <w:ilvl w:val="0"/>
                          <w:numId w:val="27"/>
                        </w:numPr>
                        <w:tabs>
                          <w:tab w:val="left" w:pos="10348"/>
                        </w:tabs>
                        <w:spacing w:before="120" w:line="300" w:lineRule="exact"/>
                        <w:ind w:left="2268" w:right="258" w:hanging="283"/>
                        <w:jc w:val="both"/>
                        <w:rPr>
                          <w:rFonts w:cs="Calibri"/>
                          <w:sz w:val="20"/>
                          <w:szCs w:val="20"/>
                          <w:lang w:val="el-GR"/>
                        </w:rPr>
                      </w:pPr>
                      <w:r w:rsidRPr="005E4FE0">
                        <w:rPr>
                          <w:rFonts w:cs="Calibri"/>
                          <w:sz w:val="20"/>
                          <w:szCs w:val="20"/>
                          <w:lang w:val="el-GR"/>
                        </w:rPr>
                        <w:t xml:space="preserve">Το δυσμενές σενάριο οδηγεί σε μείωση των κεφαλαιακών δεικτών κατά περίπου 480 μονάδες βάσης για την τριετή περίοδο. Η αντίστοιχη μείωση στην άσκηση </w:t>
                      </w:r>
                      <w:r>
                        <w:rPr>
                          <w:rFonts w:cs="Calibri"/>
                          <w:sz w:val="20"/>
                          <w:szCs w:val="20"/>
                          <w:lang w:val="el-GR"/>
                        </w:rPr>
                        <w:t xml:space="preserve">που διενεργήθηκε το </w:t>
                      </w:r>
                      <w:r w:rsidRPr="005E4FE0">
                        <w:rPr>
                          <w:rFonts w:cs="Calibri"/>
                          <w:sz w:val="20"/>
                          <w:szCs w:val="20"/>
                          <w:lang w:val="el-GR"/>
                        </w:rPr>
                        <w:t xml:space="preserve">2018 ήταν περίπου 770 μονάδες βάσης. Οι δείκτες κεφαλαίων σε πλήρη εφαρμογή του εποπτικού πλαισίου της Βασιλείας ΙΙΙ για το τέλος του έτους 2023 διαμορφώνονται σε 8,6% για τον συνολικό δείκτη κεφαλαίων και 6,5% για τον δείκτη </w:t>
                      </w:r>
                      <w:r w:rsidRPr="00CB5BC6">
                        <w:rPr>
                          <w:rFonts w:cs="Calibri"/>
                          <w:sz w:val="20"/>
                          <w:szCs w:val="20"/>
                          <w:lang w:val="en"/>
                        </w:rPr>
                        <w:t>CET</w:t>
                      </w:r>
                      <w:r>
                        <w:rPr>
                          <w:rFonts w:cs="Calibri"/>
                          <w:sz w:val="20"/>
                          <w:szCs w:val="20"/>
                          <w:lang w:val="el-GR"/>
                        </w:rPr>
                        <w:t>1</w:t>
                      </w:r>
                    </w:p>
                    <w:p w14:paraId="47D0CDCD" w14:textId="1B4DAD16" w:rsidR="00EA6E38" w:rsidRPr="005E4FE0" w:rsidRDefault="00EA6E38" w:rsidP="005E4FE0">
                      <w:pPr>
                        <w:pStyle w:val="ListParagraph"/>
                        <w:numPr>
                          <w:ilvl w:val="0"/>
                          <w:numId w:val="27"/>
                        </w:numPr>
                        <w:tabs>
                          <w:tab w:val="left" w:pos="10348"/>
                        </w:tabs>
                        <w:spacing w:before="120" w:line="300" w:lineRule="exact"/>
                        <w:ind w:left="2268" w:right="258" w:hanging="283"/>
                        <w:jc w:val="both"/>
                        <w:rPr>
                          <w:rFonts w:cs="Calibri"/>
                          <w:sz w:val="20"/>
                          <w:szCs w:val="20"/>
                          <w:lang w:val="el-GR"/>
                        </w:rPr>
                      </w:pPr>
                      <w:r w:rsidRPr="005E4FE0">
                        <w:rPr>
                          <w:rFonts w:cs="Calibri"/>
                          <w:sz w:val="20"/>
                          <w:szCs w:val="20"/>
                          <w:lang w:val="el-GR"/>
                        </w:rPr>
                        <w:t xml:space="preserve">Λαμβάνοντας υπόψη </w:t>
                      </w:r>
                      <w:r>
                        <w:rPr>
                          <w:rFonts w:cs="Calibri"/>
                          <w:sz w:val="20"/>
                          <w:szCs w:val="20"/>
                          <w:lang w:val="el-GR"/>
                        </w:rPr>
                        <w:t>την αύξηση μετοχικού κεφαλαίου του 2021,</w:t>
                      </w:r>
                      <w:r w:rsidRPr="005E4FE0">
                        <w:rPr>
                          <w:rFonts w:cs="Calibri"/>
                          <w:sz w:val="20"/>
                          <w:szCs w:val="20"/>
                          <w:lang w:val="el-GR"/>
                        </w:rPr>
                        <w:t xml:space="preserve"> ο δείκτης CET1 με πλήρη ενσωμάτωση της Βασιλείας ΙΙΙ </w:t>
                      </w:r>
                      <w:r>
                        <w:rPr>
                          <w:rFonts w:cs="Calibri"/>
                          <w:sz w:val="20"/>
                          <w:szCs w:val="20"/>
                          <w:lang w:val="el-GR"/>
                        </w:rPr>
                        <w:t>υπό</w:t>
                      </w:r>
                      <w:r w:rsidRPr="005E4FE0">
                        <w:rPr>
                          <w:rFonts w:cs="Calibri"/>
                          <w:sz w:val="20"/>
                          <w:szCs w:val="20"/>
                          <w:lang w:val="el-GR"/>
                        </w:rPr>
                        <w:t xml:space="preserve"> το δυσμενές σενάριο για το 2023 ανέρχεται σε περίπου 10,0%</w:t>
                      </w:r>
                      <w:r>
                        <w:rPr>
                          <w:rFonts w:cs="Calibri"/>
                          <w:sz w:val="20"/>
                          <w:szCs w:val="20"/>
                          <w:lang w:val="el-GR"/>
                        </w:rPr>
                        <w:t>,</w:t>
                      </w:r>
                      <w:r w:rsidRPr="005E4FE0">
                        <w:rPr>
                          <w:rFonts w:ascii="Trebuchet MS" w:eastAsia="Times New Roman" w:hAnsi="Trebuchet MS" w:cs="Times New Roman"/>
                          <w:color w:val="3F3927"/>
                          <w:sz w:val="20"/>
                          <w:szCs w:val="20"/>
                          <w:lang w:val="el-GR" w:eastAsia="el-GR"/>
                        </w:rPr>
                        <w:t xml:space="preserve"> </w:t>
                      </w:r>
                      <w:r w:rsidRPr="005E4FE0">
                        <w:rPr>
                          <w:rFonts w:cs="Calibri"/>
                          <w:sz w:val="20"/>
                          <w:szCs w:val="20"/>
                          <w:lang w:val="el-GR"/>
                        </w:rPr>
                        <w:t>σύ</w:t>
                      </w:r>
                      <w:r>
                        <w:rPr>
                          <w:rFonts w:cs="Calibri"/>
                          <w:sz w:val="20"/>
                          <w:szCs w:val="20"/>
                          <w:lang w:val="el-GR"/>
                        </w:rPr>
                        <w:t xml:space="preserve">μφωνα με </w:t>
                      </w:r>
                      <w:proofErr w:type="spellStart"/>
                      <w:r>
                        <w:rPr>
                          <w:rFonts w:cs="Calibri"/>
                          <w:sz w:val="20"/>
                          <w:szCs w:val="20"/>
                          <w:lang w:val="el-GR"/>
                        </w:rPr>
                        <w:t>pro</w:t>
                      </w:r>
                      <w:proofErr w:type="spellEnd"/>
                      <w:r>
                        <w:rPr>
                          <w:rFonts w:cs="Calibri"/>
                          <w:sz w:val="20"/>
                          <w:szCs w:val="20"/>
                          <w:lang w:val="el-GR"/>
                        </w:rPr>
                        <w:t xml:space="preserve"> </w:t>
                      </w:r>
                      <w:proofErr w:type="spellStart"/>
                      <w:r>
                        <w:rPr>
                          <w:rFonts w:cs="Calibri"/>
                          <w:sz w:val="20"/>
                          <w:szCs w:val="20"/>
                          <w:lang w:val="el-GR"/>
                        </w:rPr>
                        <w:t>forma</w:t>
                      </w:r>
                      <w:proofErr w:type="spellEnd"/>
                      <w:r>
                        <w:rPr>
                          <w:rFonts w:cs="Calibri"/>
                          <w:sz w:val="20"/>
                          <w:szCs w:val="20"/>
                          <w:lang w:val="el-GR"/>
                        </w:rPr>
                        <w:t xml:space="preserve"> υπολογισμούς</w:t>
                      </w:r>
                      <w:r w:rsidRPr="005E4FE0">
                        <w:rPr>
                          <w:rFonts w:cs="Calibri"/>
                          <w:sz w:val="20"/>
                          <w:szCs w:val="20"/>
                          <w:lang w:val="el-GR"/>
                        </w:rPr>
                        <w:t xml:space="preserve">, </w:t>
                      </w:r>
                      <w:r>
                        <w:rPr>
                          <w:rFonts w:cs="Calibri"/>
                          <w:sz w:val="20"/>
                          <w:szCs w:val="20"/>
                          <w:lang w:val="el-GR"/>
                        </w:rPr>
                        <w:t xml:space="preserve">σε ευθυγράμμιση με τον μέσο όρο του </w:t>
                      </w:r>
                      <w:proofErr w:type="spellStart"/>
                      <w:r>
                        <w:rPr>
                          <w:rFonts w:cs="Calibri"/>
                          <w:sz w:val="20"/>
                          <w:szCs w:val="20"/>
                          <w:lang w:val="el-GR"/>
                        </w:rPr>
                        <w:t>ευρωπαικού</w:t>
                      </w:r>
                      <w:proofErr w:type="spellEnd"/>
                      <w:r>
                        <w:rPr>
                          <w:rFonts w:cs="Calibri"/>
                          <w:sz w:val="20"/>
                          <w:szCs w:val="20"/>
                          <w:lang w:val="el-GR"/>
                        </w:rPr>
                        <w:t xml:space="preserve"> τραπεζικού κλάδου</w:t>
                      </w:r>
                    </w:p>
                  </w:txbxContent>
                </v:textbox>
                <w10:wrap type="tight" anchorx="page"/>
              </v:rect>
            </w:pict>
          </mc:Fallback>
        </mc:AlternateContent>
      </w:r>
    </w:p>
    <w:p w14:paraId="6D9C86B0" w14:textId="30E5A5A7" w:rsidR="004072CD" w:rsidRPr="00DA0EBB" w:rsidRDefault="008F5A2F" w:rsidP="000C1BEB">
      <w:pPr>
        <w:spacing w:before="120" w:after="120" w:line="300" w:lineRule="exact"/>
        <w:ind w:left="-1267" w:right="83"/>
        <w:jc w:val="right"/>
        <w:rPr>
          <w:i/>
          <w:iCs/>
          <w:color w:val="000000" w:themeColor="text1"/>
          <w:sz w:val="20"/>
          <w:szCs w:val="20"/>
        </w:rPr>
      </w:pPr>
      <w:r w:rsidRPr="002C3CB6">
        <w:rPr>
          <w:rFonts w:eastAsia="Times New Roman" w:cs="Calibri"/>
          <w:b/>
          <w:noProof/>
          <w:color w:val="6691AB"/>
          <w:sz w:val="28"/>
          <w:szCs w:val="28"/>
          <w:lang w:eastAsia="el-GR"/>
        </w:rPr>
        <w:lastRenderedPageBreak/>
        <mc:AlternateContent>
          <mc:Choice Requires="wps">
            <w:drawing>
              <wp:anchor distT="0" distB="0" distL="114300" distR="114300" simplePos="0" relativeHeight="251681792" behindDoc="1" locked="0" layoutInCell="1" allowOverlap="1" wp14:anchorId="772D1D66" wp14:editId="6E1E771E">
                <wp:simplePos x="0" y="0"/>
                <wp:positionH relativeFrom="page">
                  <wp:posOffset>-13855</wp:posOffset>
                </wp:positionH>
                <wp:positionV relativeFrom="paragraph">
                  <wp:posOffset>381577</wp:posOffset>
                </wp:positionV>
                <wp:extent cx="6918960" cy="8167255"/>
                <wp:effectExtent l="0" t="0" r="0" b="5715"/>
                <wp:wrapNone/>
                <wp:docPr id="2"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18960" cy="8167255"/>
                        </a:xfrm>
                        <a:prstGeom prst="rect">
                          <a:avLst/>
                        </a:prstGeom>
                        <a:solidFill>
                          <a:srgbClr val="E6E6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68E4D" w14:textId="77777777" w:rsidR="00EA6E38" w:rsidRPr="00F318E6" w:rsidRDefault="00EA6E38" w:rsidP="00F318E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D1D66" id="_x0000_s1030" style="position:absolute;left:0;text-align:left;margin-left:-1.1pt;margin-top:30.05pt;width:544.8pt;height:643.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" fillcolor="#e6e6e1" stroked="f">
                <o:lock v:ext="edit" aspectratio="t"/>
                <v:textbox>
                  <w:txbxContent>
                    <w:p w14:paraId="6FE68E4D" w14:textId="77777777" w:rsidR="00EA6E38" w:rsidRPr="00F318E6" w:rsidRDefault="00EA6E38" w:rsidP="00F318E6">
                      <w:pPr>
                        <w:rPr>
                          <w:lang w:val="en-GB"/>
                        </w:rPr>
                      </w:pPr>
                    </w:p>
                  </w:txbxContent>
                </v:textbox>
                <w10:wrap anchorx="page"/>
              </v:rect>
            </w:pict>
          </mc:Fallback>
        </mc:AlternateContent>
      </w:r>
      <w:r w:rsidR="00DA0EBB" w:rsidRPr="007A419D">
        <w:rPr>
          <w:rFonts w:cs="Calibri"/>
          <w:noProof/>
          <w:sz w:val="28"/>
          <w:szCs w:val="28"/>
          <w:lang w:eastAsia="el-GR"/>
        </w:rPr>
        <mc:AlternateContent>
          <mc:Choice Requires="wps">
            <w:drawing>
              <wp:anchor distT="0" distB="0" distL="114300" distR="114300" simplePos="0" relativeHeight="251688960" behindDoc="0" locked="0" layoutInCell="1" allowOverlap="1" wp14:anchorId="1B4DEFAB" wp14:editId="5B1209AF">
                <wp:simplePos x="0" y="0"/>
                <wp:positionH relativeFrom="column">
                  <wp:posOffset>-2177415</wp:posOffset>
                </wp:positionH>
                <wp:positionV relativeFrom="paragraph">
                  <wp:posOffset>381058</wp:posOffset>
                </wp:positionV>
                <wp:extent cx="7178040" cy="0"/>
                <wp:effectExtent l="0" t="0" r="22860" b="19050"/>
                <wp:wrapNone/>
                <wp:docPr id="40" name="Straight Connector 100">
                  <a:extLst xmlns:a="http://schemas.openxmlformats.org/drawingml/2006/main">
                    <a:ext uri="{FF2B5EF4-FFF2-40B4-BE49-F238E27FC236}">
                      <a16:creationId xmlns:a16="http://schemas.microsoft.com/office/drawing/2014/main" id="{CE3EDDE5-9B23-44D7-8546-0B2365B42B16}"/>
                    </a:ext>
                  </a:extLst>
                </wp:docPr>
                <wp:cNvGraphicFramePr/>
                <a:graphic xmlns:a="http://schemas.openxmlformats.org/drawingml/2006/main">
                  <a:graphicData uri="http://schemas.microsoft.com/office/word/2010/wordprocessingShape">
                    <wps:wsp>
                      <wps:cNvCnPr/>
                      <wps:spPr>
                        <a:xfrm flipV="1">
                          <a:off x="0" y="0"/>
                          <a:ext cx="7178040" cy="0"/>
                        </a:xfrm>
                        <a:prstGeom prst="line">
                          <a:avLst/>
                        </a:prstGeom>
                        <a:ln>
                          <a:solidFill>
                            <a:srgbClr val="6691A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F38A79" id="Straight Connector 100"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171.45pt,30pt" to="393.7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" strokecolor="#6691ab"/>
            </w:pict>
          </mc:Fallback>
        </mc:AlternateContent>
      </w:r>
      <w:r w:rsidR="00632EBD" w:rsidRPr="00632EBD">
        <w:rPr>
          <w:rFonts w:eastAsia="Times New Roman" w:cs="Calibri"/>
          <w:b/>
          <w:color w:val="6691AB"/>
          <w:sz w:val="28"/>
          <w:szCs w:val="28"/>
        </w:rPr>
        <w:t>Δήλωση Διοίκησης</w:t>
      </w:r>
    </w:p>
    <w:p w14:paraId="28E808F9" w14:textId="1A44547F" w:rsidR="00F318E6" w:rsidRPr="00DA0EBB" w:rsidRDefault="00AE0301" w:rsidP="00DA0EBB">
      <w:pPr>
        <w:spacing w:before="40" w:after="40" w:line="240" w:lineRule="auto"/>
        <w:ind w:left="-284" w:right="249"/>
        <w:jc w:val="both"/>
        <w:rPr>
          <w:rFonts w:cstheme="minorHAnsi"/>
          <w:i/>
          <w:iCs/>
          <w:color w:val="000000"/>
          <w:sz w:val="20"/>
          <w:szCs w:val="20"/>
        </w:rPr>
      </w:pPr>
      <w:r w:rsidRPr="007A419D">
        <w:rPr>
          <w:rFonts w:cs="Calibri"/>
          <w:noProof/>
          <w:sz w:val="28"/>
          <w:szCs w:val="28"/>
          <w:lang w:eastAsia="el-GR"/>
        </w:rPr>
        <mc:AlternateContent>
          <mc:Choice Requires="wps">
            <w:drawing>
              <wp:anchor distT="0" distB="0" distL="114300" distR="114300" simplePos="0" relativeHeight="251692032" behindDoc="0" locked="0" layoutInCell="1" allowOverlap="1" wp14:anchorId="501F04F4" wp14:editId="2BD57F30">
                <wp:simplePos x="0" y="0"/>
                <wp:positionH relativeFrom="column">
                  <wp:posOffset>3787614</wp:posOffset>
                </wp:positionH>
                <wp:positionV relativeFrom="paragraph">
                  <wp:posOffset>74930</wp:posOffset>
                </wp:positionV>
                <wp:extent cx="1229995" cy="78740"/>
                <wp:effectExtent l="0" t="0" r="8255" b="0"/>
                <wp:wrapNone/>
                <wp:docPr id="39" name="Rectangle 101" descr="Accent bar right&#10;">
                  <a:extLst xmlns:a="http://schemas.openxmlformats.org/drawingml/2006/main">
                    <a:ext uri="{FF2B5EF4-FFF2-40B4-BE49-F238E27FC236}">
                      <a16:creationId xmlns:a16="http://schemas.microsoft.com/office/drawing/2014/main" id="{A7CD04AE-9A8B-4DED-855D-F51B510D0B69}"/>
                    </a:ext>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29995" cy="78740"/>
                        </a:xfrm>
                        <a:prstGeom prst="rect">
                          <a:avLst/>
                        </a:prstGeom>
                        <a:solidFill>
                          <a:srgbClr val="6691AB"/>
                        </a:solidFill>
                        <a:ln w="12700" cap="flat" cmpd="sng" algn="ctr">
                          <a:noFill/>
                          <a:prstDash val="solid"/>
                          <a:miter lim="800000"/>
                        </a:ln>
                        <a:effectLst/>
                      </wps:spPr>
                      <wps:bodyPr rtlCol="0" anchor="ctr"/>
                    </wps:wsp>
                  </a:graphicData>
                </a:graphic>
              </wp:anchor>
            </w:drawing>
          </mc:Choice>
          <mc:Fallback>
            <w:pict>
              <v:rect w14:anchorId="271BAE17" id="Rectangle 101" o:spid="_x0000_s1026" alt="Accent bar right&#10;" style="position:absolute;margin-left:298.25pt;margin-top:5.9pt;width:96.85pt;height:6.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" fillcolor="#6691ab" stroked="f" strokeweight="1pt"/>
            </w:pict>
          </mc:Fallback>
        </mc:AlternateContent>
      </w:r>
    </w:p>
    <w:p w14:paraId="19B28363" w14:textId="4D0C6C9D" w:rsidR="007F20BE" w:rsidRPr="00DA0EBB" w:rsidRDefault="000B4093" w:rsidP="00161A8A">
      <w:pPr>
        <w:spacing w:before="80" w:after="40"/>
        <w:ind w:left="-284" w:right="249"/>
        <w:jc w:val="both"/>
        <w:rPr>
          <w:rFonts w:cstheme="minorHAnsi"/>
          <w:i/>
          <w:iCs/>
          <w:color w:val="000000"/>
          <w:sz w:val="20"/>
          <w:szCs w:val="20"/>
        </w:rPr>
      </w:pPr>
      <w:r>
        <w:rPr>
          <w:rFonts w:cstheme="minorHAnsi"/>
          <w:i/>
          <w:iCs/>
          <w:color w:val="000000"/>
          <w:sz w:val="20"/>
          <w:szCs w:val="20"/>
        </w:rPr>
        <w:t>«</w:t>
      </w:r>
      <w:r w:rsidR="00096DF3">
        <w:rPr>
          <w:rFonts w:cstheme="minorHAnsi"/>
          <w:i/>
          <w:iCs/>
          <w:color w:val="000000"/>
          <w:sz w:val="20"/>
          <w:szCs w:val="20"/>
        </w:rPr>
        <w:t>Κατά τ</w:t>
      </w:r>
      <w:r w:rsidR="007F6678" w:rsidRPr="00DA0EBB">
        <w:rPr>
          <w:rFonts w:cstheme="minorHAnsi"/>
          <w:i/>
          <w:iCs/>
          <w:color w:val="000000"/>
          <w:sz w:val="20"/>
          <w:szCs w:val="20"/>
        </w:rPr>
        <w:t>ο δεύτερο εξάμηνο 2021</w:t>
      </w:r>
      <w:r w:rsidR="007F6678" w:rsidRPr="007F6678">
        <w:rPr>
          <w:rFonts w:cstheme="minorHAnsi"/>
          <w:i/>
          <w:iCs/>
          <w:color w:val="000000"/>
          <w:sz w:val="20"/>
          <w:szCs w:val="20"/>
        </w:rPr>
        <w:t xml:space="preserve"> </w:t>
      </w:r>
      <w:r w:rsidR="007F6678">
        <w:rPr>
          <w:rFonts w:cstheme="minorHAnsi"/>
          <w:i/>
          <w:iCs/>
          <w:color w:val="000000"/>
          <w:sz w:val="20"/>
          <w:szCs w:val="20"/>
          <w:lang w:val="en-US"/>
        </w:rPr>
        <w:t>a</w:t>
      </w:r>
      <w:r w:rsidR="00DA0EBB" w:rsidRPr="00DA0EBB">
        <w:rPr>
          <w:rFonts w:cstheme="minorHAnsi"/>
          <w:i/>
          <w:iCs/>
          <w:color w:val="000000"/>
          <w:sz w:val="20"/>
          <w:szCs w:val="20"/>
        </w:rPr>
        <w:t xml:space="preserve">ναμένεται ταχύτερη </w:t>
      </w:r>
      <w:r w:rsidR="007F6678">
        <w:rPr>
          <w:rFonts w:cstheme="minorHAnsi"/>
          <w:i/>
          <w:iCs/>
          <w:color w:val="000000"/>
          <w:sz w:val="20"/>
          <w:szCs w:val="20"/>
        </w:rPr>
        <w:t xml:space="preserve">οικονομική </w:t>
      </w:r>
      <w:r w:rsidR="00DA0EBB" w:rsidRPr="00DA0EBB">
        <w:rPr>
          <w:rFonts w:cstheme="minorHAnsi"/>
          <w:i/>
          <w:iCs/>
          <w:color w:val="000000"/>
          <w:sz w:val="20"/>
          <w:szCs w:val="20"/>
        </w:rPr>
        <w:t>ανάκαμψη, με περαιτέρω επιτάχυνση το 2022</w:t>
      </w:r>
      <w:r w:rsidR="007F6678">
        <w:rPr>
          <w:rFonts w:cstheme="minorHAnsi"/>
          <w:i/>
          <w:iCs/>
          <w:color w:val="000000"/>
          <w:sz w:val="20"/>
          <w:szCs w:val="20"/>
        </w:rPr>
        <w:t>,</w:t>
      </w:r>
      <w:r w:rsidR="00DA0EBB" w:rsidRPr="00DA0EBB">
        <w:rPr>
          <w:rFonts w:cstheme="minorHAnsi"/>
          <w:i/>
          <w:iCs/>
          <w:color w:val="000000"/>
          <w:sz w:val="20"/>
          <w:szCs w:val="20"/>
        </w:rPr>
        <w:t xml:space="preserve"> κυρίως λόγω </w:t>
      </w:r>
      <w:r w:rsidR="00096DF3">
        <w:rPr>
          <w:rFonts w:cstheme="minorHAnsi"/>
          <w:i/>
          <w:iCs/>
          <w:color w:val="000000"/>
          <w:sz w:val="20"/>
          <w:szCs w:val="20"/>
        </w:rPr>
        <w:t xml:space="preserve">της ανόδου της </w:t>
      </w:r>
      <w:r w:rsidR="00DA0EBB" w:rsidRPr="00DA0EBB">
        <w:rPr>
          <w:rFonts w:cstheme="minorHAnsi"/>
          <w:i/>
          <w:iCs/>
          <w:color w:val="000000"/>
          <w:sz w:val="20"/>
          <w:szCs w:val="20"/>
        </w:rPr>
        <w:t>εγχώριας ζήτησης</w:t>
      </w:r>
      <w:r w:rsidR="007F6678">
        <w:rPr>
          <w:rFonts w:cstheme="minorHAnsi"/>
          <w:i/>
          <w:iCs/>
          <w:color w:val="000000"/>
          <w:sz w:val="20"/>
          <w:szCs w:val="20"/>
        </w:rPr>
        <w:t xml:space="preserve"> και </w:t>
      </w:r>
      <w:r w:rsidR="00DA0EBB" w:rsidRPr="00DA0EBB">
        <w:rPr>
          <w:rFonts w:cstheme="minorHAnsi"/>
          <w:i/>
          <w:iCs/>
          <w:color w:val="000000"/>
          <w:sz w:val="20"/>
          <w:szCs w:val="20"/>
        </w:rPr>
        <w:t xml:space="preserve">της έναρξης έργων στο πλαίσιο του </w:t>
      </w:r>
      <w:r w:rsidR="00096DF3">
        <w:rPr>
          <w:rFonts w:cstheme="minorHAnsi"/>
          <w:i/>
          <w:iCs/>
          <w:color w:val="000000"/>
          <w:sz w:val="20"/>
          <w:szCs w:val="20"/>
        </w:rPr>
        <w:t>ε</w:t>
      </w:r>
      <w:r w:rsidR="00DA0EBB" w:rsidRPr="00DA0EBB">
        <w:rPr>
          <w:rFonts w:cstheme="minorHAnsi"/>
          <w:i/>
          <w:iCs/>
          <w:color w:val="000000"/>
          <w:sz w:val="20"/>
          <w:szCs w:val="20"/>
        </w:rPr>
        <w:t>θνικού Σχεδί</w:t>
      </w:r>
      <w:r w:rsidR="007F6678">
        <w:rPr>
          <w:rFonts w:cstheme="minorHAnsi"/>
          <w:i/>
          <w:iCs/>
          <w:color w:val="000000"/>
          <w:sz w:val="20"/>
          <w:szCs w:val="20"/>
        </w:rPr>
        <w:t>ου Ανάκαμψης και Ανθεκτικότητας</w:t>
      </w:r>
      <w:r w:rsidR="00DA0EBB" w:rsidRPr="00DA0EBB">
        <w:rPr>
          <w:rFonts w:cstheme="minorHAnsi"/>
          <w:i/>
          <w:iCs/>
          <w:color w:val="000000"/>
          <w:sz w:val="20"/>
          <w:szCs w:val="20"/>
        </w:rPr>
        <w:t>.</w:t>
      </w:r>
    </w:p>
    <w:p w14:paraId="39EEFACA" w14:textId="239B3846" w:rsidR="007F20BE" w:rsidRDefault="00096DF3" w:rsidP="00161A8A">
      <w:pPr>
        <w:spacing w:before="80" w:after="40"/>
        <w:ind w:left="-284" w:right="249"/>
        <w:jc w:val="both"/>
        <w:rPr>
          <w:rFonts w:cstheme="minorHAnsi"/>
          <w:i/>
          <w:iCs/>
          <w:color w:val="000000"/>
          <w:sz w:val="20"/>
          <w:szCs w:val="20"/>
        </w:rPr>
      </w:pPr>
      <w:r>
        <w:rPr>
          <w:rFonts w:cstheme="minorHAnsi"/>
          <w:i/>
          <w:iCs/>
          <w:color w:val="000000"/>
          <w:sz w:val="20"/>
          <w:szCs w:val="20"/>
        </w:rPr>
        <w:t xml:space="preserve">Σε αυτό το περιβάλλον, οι επιδόσεις της Πειραιώς παραμένουν ισχυρές </w:t>
      </w:r>
      <w:r w:rsidR="00B53B1A">
        <w:rPr>
          <w:rFonts w:cstheme="minorHAnsi"/>
          <w:i/>
          <w:iCs/>
          <w:color w:val="000000"/>
          <w:sz w:val="20"/>
          <w:szCs w:val="20"/>
        </w:rPr>
        <w:t>χάρη στο</w:t>
      </w:r>
      <w:r w:rsidR="00DA0EBB" w:rsidRPr="00DA0EBB">
        <w:rPr>
          <w:rFonts w:cstheme="minorHAnsi"/>
          <w:i/>
          <w:iCs/>
          <w:color w:val="000000"/>
          <w:sz w:val="20"/>
          <w:szCs w:val="20"/>
        </w:rPr>
        <w:t xml:space="preserve"> </w:t>
      </w:r>
      <w:r w:rsidR="00C85054">
        <w:rPr>
          <w:rFonts w:cstheme="minorHAnsi"/>
          <w:i/>
          <w:iCs/>
          <w:color w:val="000000"/>
          <w:sz w:val="20"/>
          <w:szCs w:val="20"/>
        </w:rPr>
        <w:t xml:space="preserve">εκτεταμένο </w:t>
      </w:r>
      <w:r w:rsidR="007F20BE" w:rsidRPr="007F20BE">
        <w:rPr>
          <w:rFonts w:cstheme="minorHAnsi"/>
          <w:i/>
          <w:iCs/>
          <w:color w:val="000000"/>
          <w:sz w:val="20"/>
          <w:szCs w:val="20"/>
        </w:rPr>
        <w:t>πρ</w:t>
      </w:r>
      <w:r w:rsidR="00B53B1A">
        <w:rPr>
          <w:rFonts w:cstheme="minorHAnsi"/>
          <w:i/>
          <w:iCs/>
          <w:color w:val="000000"/>
          <w:sz w:val="20"/>
          <w:szCs w:val="20"/>
        </w:rPr>
        <w:t>ό</w:t>
      </w:r>
      <w:r w:rsidR="00C85054">
        <w:rPr>
          <w:rFonts w:cstheme="minorHAnsi"/>
          <w:i/>
          <w:iCs/>
          <w:color w:val="000000"/>
          <w:sz w:val="20"/>
          <w:szCs w:val="20"/>
        </w:rPr>
        <w:t>γρ</w:t>
      </w:r>
      <w:r w:rsidR="00B53B1A">
        <w:rPr>
          <w:rFonts w:cstheme="minorHAnsi"/>
          <w:i/>
          <w:iCs/>
          <w:color w:val="000000"/>
          <w:sz w:val="20"/>
          <w:szCs w:val="20"/>
        </w:rPr>
        <w:t>α</w:t>
      </w:r>
      <w:r w:rsidR="00C85054">
        <w:rPr>
          <w:rFonts w:cstheme="minorHAnsi"/>
          <w:i/>
          <w:iCs/>
          <w:color w:val="000000"/>
          <w:sz w:val="20"/>
          <w:szCs w:val="20"/>
        </w:rPr>
        <w:t xml:space="preserve">μμα </w:t>
      </w:r>
      <w:r w:rsidR="007F20BE" w:rsidRPr="007F20BE">
        <w:rPr>
          <w:rFonts w:cstheme="minorHAnsi"/>
          <w:i/>
          <w:iCs/>
          <w:color w:val="000000"/>
          <w:sz w:val="20"/>
          <w:szCs w:val="20"/>
        </w:rPr>
        <w:t xml:space="preserve">μετασχηματισμού </w:t>
      </w:r>
      <w:r w:rsidR="00B53B1A">
        <w:rPr>
          <w:rFonts w:cstheme="minorHAnsi"/>
          <w:i/>
          <w:iCs/>
          <w:color w:val="000000"/>
          <w:sz w:val="20"/>
          <w:szCs w:val="20"/>
        </w:rPr>
        <w:t xml:space="preserve">που </w:t>
      </w:r>
      <w:r>
        <w:rPr>
          <w:rFonts w:cstheme="minorHAnsi"/>
          <w:i/>
          <w:iCs/>
          <w:color w:val="000000"/>
          <w:sz w:val="20"/>
          <w:szCs w:val="20"/>
        </w:rPr>
        <w:t>υλοποιούμε</w:t>
      </w:r>
      <w:r w:rsidR="00DA0EBB" w:rsidRPr="00DA0EBB">
        <w:rPr>
          <w:rFonts w:cstheme="minorHAnsi"/>
          <w:i/>
          <w:iCs/>
          <w:color w:val="000000"/>
          <w:sz w:val="20"/>
          <w:szCs w:val="20"/>
        </w:rPr>
        <w:t xml:space="preserve">. Η Τράπεζα </w:t>
      </w:r>
      <w:r w:rsidR="007F20BE">
        <w:rPr>
          <w:rFonts w:cstheme="minorHAnsi"/>
          <w:i/>
          <w:iCs/>
          <w:color w:val="000000"/>
          <w:sz w:val="20"/>
          <w:szCs w:val="20"/>
        </w:rPr>
        <w:t xml:space="preserve">Πειραιώς </w:t>
      </w:r>
      <w:r w:rsidR="00DA0EBB" w:rsidRPr="00DA0EBB">
        <w:rPr>
          <w:rFonts w:cstheme="minorHAnsi"/>
          <w:i/>
          <w:iCs/>
          <w:color w:val="000000"/>
          <w:sz w:val="20"/>
          <w:szCs w:val="20"/>
        </w:rPr>
        <w:t>έχει ήδη χορηγήσει</w:t>
      </w:r>
      <w:r w:rsidR="007F20BE">
        <w:rPr>
          <w:rFonts w:cstheme="minorHAnsi"/>
          <w:i/>
          <w:iCs/>
          <w:color w:val="000000"/>
          <w:sz w:val="20"/>
          <w:szCs w:val="20"/>
        </w:rPr>
        <w:t xml:space="preserve"> νέες χρηματοδοτήσεις ύψους €3,8 </w:t>
      </w:r>
      <w:r w:rsidR="00DA0EBB" w:rsidRPr="00DA0EBB">
        <w:rPr>
          <w:rFonts w:cstheme="minorHAnsi"/>
          <w:i/>
          <w:iCs/>
          <w:color w:val="000000"/>
          <w:sz w:val="20"/>
          <w:szCs w:val="20"/>
        </w:rPr>
        <w:t xml:space="preserve">δισ. μέχρι </w:t>
      </w:r>
      <w:r w:rsidR="00E10BEF">
        <w:rPr>
          <w:rFonts w:cstheme="minorHAnsi"/>
          <w:i/>
          <w:iCs/>
          <w:color w:val="000000"/>
          <w:sz w:val="20"/>
          <w:szCs w:val="20"/>
        </w:rPr>
        <w:t>το τέλος Ιουλίου</w:t>
      </w:r>
      <w:r w:rsidR="00DA0EBB" w:rsidRPr="00DA0EBB">
        <w:rPr>
          <w:rFonts w:cstheme="minorHAnsi"/>
          <w:i/>
          <w:iCs/>
          <w:color w:val="000000"/>
          <w:sz w:val="20"/>
          <w:szCs w:val="20"/>
        </w:rPr>
        <w:t xml:space="preserve">, σε τροχιά </w:t>
      </w:r>
      <w:r w:rsidR="001C6BF0">
        <w:rPr>
          <w:rFonts w:cstheme="minorHAnsi"/>
          <w:i/>
          <w:iCs/>
          <w:color w:val="000000"/>
          <w:sz w:val="20"/>
          <w:szCs w:val="20"/>
        </w:rPr>
        <w:t xml:space="preserve">υπέρβασης </w:t>
      </w:r>
      <w:r w:rsidR="00DA0EBB" w:rsidRPr="00DA0EBB">
        <w:rPr>
          <w:rFonts w:cstheme="minorHAnsi"/>
          <w:i/>
          <w:iCs/>
          <w:color w:val="000000"/>
          <w:sz w:val="20"/>
          <w:szCs w:val="20"/>
        </w:rPr>
        <w:t xml:space="preserve">του στόχου εκταμίευσης νέων δανείων ύψους €5,7 δισ. </w:t>
      </w:r>
      <w:r>
        <w:rPr>
          <w:rFonts w:cstheme="minorHAnsi"/>
          <w:i/>
          <w:iCs/>
          <w:color w:val="000000"/>
          <w:sz w:val="20"/>
          <w:szCs w:val="20"/>
        </w:rPr>
        <w:t xml:space="preserve">για </w:t>
      </w:r>
      <w:r w:rsidR="00DA0EBB" w:rsidRPr="00DA0EBB">
        <w:rPr>
          <w:rFonts w:cstheme="minorHAnsi"/>
          <w:i/>
          <w:iCs/>
          <w:color w:val="000000"/>
          <w:sz w:val="20"/>
          <w:szCs w:val="20"/>
        </w:rPr>
        <w:t xml:space="preserve">το 2021. Οι καταθέσεις πελατών </w:t>
      </w:r>
      <w:r w:rsidR="00E10BEF">
        <w:rPr>
          <w:rFonts w:cstheme="minorHAnsi"/>
          <w:i/>
          <w:iCs/>
          <w:color w:val="000000"/>
          <w:sz w:val="20"/>
          <w:szCs w:val="20"/>
        </w:rPr>
        <w:t xml:space="preserve">και τα αμοιβαία κεφάλαια </w:t>
      </w:r>
      <w:r w:rsidR="00B53B1A">
        <w:rPr>
          <w:rFonts w:cstheme="minorHAnsi"/>
          <w:i/>
          <w:iCs/>
          <w:color w:val="000000"/>
          <w:sz w:val="20"/>
          <w:szCs w:val="20"/>
        </w:rPr>
        <w:t>ενισχύθηκαν</w:t>
      </w:r>
      <w:r w:rsidR="00E10BEF">
        <w:rPr>
          <w:rFonts w:cstheme="minorHAnsi"/>
          <w:i/>
          <w:iCs/>
          <w:color w:val="000000"/>
          <w:sz w:val="20"/>
          <w:szCs w:val="20"/>
        </w:rPr>
        <w:t xml:space="preserve"> κατά €2,2</w:t>
      </w:r>
      <w:r w:rsidR="00DA0EBB" w:rsidRPr="00DA0EBB">
        <w:rPr>
          <w:rFonts w:cstheme="minorHAnsi"/>
          <w:i/>
          <w:iCs/>
          <w:color w:val="000000"/>
          <w:sz w:val="20"/>
          <w:szCs w:val="20"/>
        </w:rPr>
        <w:t xml:space="preserve"> δισ. </w:t>
      </w:r>
      <w:r w:rsidR="00E10BEF" w:rsidRPr="00E10BEF">
        <w:rPr>
          <w:rFonts w:cstheme="minorHAnsi"/>
          <w:i/>
          <w:iCs/>
          <w:color w:val="000000"/>
          <w:sz w:val="20"/>
          <w:szCs w:val="20"/>
        </w:rPr>
        <w:t>το πρώτο εξάμηνο του 2021.</w:t>
      </w:r>
    </w:p>
    <w:p w14:paraId="7D85ACEB" w14:textId="4F0701A6" w:rsidR="00E10BEF" w:rsidRDefault="00DA0EBB" w:rsidP="00161A8A">
      <w:pPr>
        <w:spacing w:before="80" w:after="40"/>
        <w:ind w:left="-284" w:right="249"/>
        <w:jc w:val="both"/>
        <w:rPr>
          <w:rFonts w:cstheme="minorHAnsi"/>
          <w:i/>
          <w:iCs/>
          <w:color w:val="000000"/>
          <w:sz w:val="20"/>
          <w:szCs w:val="20"/>
        </w:rPr>
      </w:pPr>
      <w:r w:rsidRPr="00DA0EBB">
        <w:rPr>
          <w:rFonts w:cstheme="minorHAnsi"/>
          <w:i/>
          <w:iCs/>
          <w:color w:val="000000"/>
          <w:sz w:val="20"/>
          <w:szCs w:val="20"/>
        </w:rPr>
        <w:t>Σε όλες τις δραστηριότητ</w:t>
      </w:r>
      <w:r w:rsidR="00E10BEF">
        <w:rPr>
          <w:rFonts w:cstheme="minorHAnsi"/>
          <w:i/>
          <w:iCs/>
          <w:color w:val="000000"/>
          <w:sz w:val="20"/>
          <w:szCs w:val="20"/>
        </w:rPr>
        <w:t>έ</w:t>
      </w:r>
      <w:r w:rsidRPr="00DA0EBB">
        <w:rPr>
          <w:rFonts w:cstheme="minorHAnsi"/>
          <w:i/>
          <w:iCs/>
          <w:color w:val="000000"/>
          <w:sz w:val="20"/>
          <w:szCs w:val="20"/>
        </w:rPr>
        <w:t xml:space="preserve">ς </w:t>
      </w:r>
      <w:r w:rsidR="00E10BEF">
        <w:rPr>
          <w:rFonts w:cstheme="minorHAnsi"/>
          <w:i/>
          <w:iCs/>
          <w:color w:val="000000"/>
          <w:sz w:val="20"/>
          <w:szCs w:val="20"/>
        </w:rPr>
        <w:t>μας</w:t>
      </w:r>
      <w:r w:rsidRPr="00DA0EBB">
        <w:rPr>
          <w:rFonts w:cstheme="minorHAnsi"/>
          <w:i/>
          <w:iCs/>
          <w:color w:val="000000"/>
          <w:sz w:val="20"/>
          <w:szCs w:val="20"/>
        </w:rPr>
        <w:t xml:space="preserve">, συνεχίσαμε να εστιάζουμε στην υποστήριξη των πελατών μας, στην αύξηση των εσόδων μας και στην αποτελεσματική διαχείριση των </w:t>
      </w:r>
      <w:r w:rsidR="00E10BEF">
        <w:rPr>
          <w:rFonts w:cstheme="minorHAnsi"/>
          <w:i/>
          <w:iCs/>
          <w:color w:val="000000"/>
          <w:sz w:val="20"/>
          <w:szCs w:val="20"/>
        </w:rPr>
        <w:t>λειτουργικών εξόδων</w:t>
      </w:r>
      <w:r w:rsidRPr="00DA0EBB">
        <w:rPr>
          <w:rFonts w:cstheme="minorHAnsi"/>
          <w:i/>
          <w:iCs/>
          <w:color w:val="000000"/>
          <w:sz w:val="20"/>
          <w:szCs w:val="20"/>
        </w:rPr>
        <w:t>.</w:t>
      </w:r>
      <w:r w:rsidR="00E10BEF" w:rsidRPr="00E10BEF">
        <w:t xml:space="preserve"> </w:t>
      </w:r>
      <w:r w:rsidR="00E10BEF" w:rsidRPr="00E10BEF">
        <w:rPr>
          <w:rFonts w:cstheme="minorHAnsi"/>
          <w:i/>
          <w:iCs/>
          <w:color w:val="000000"/>
          <w:sz w:val="20"/>
          <w:szCs w:val="20"/>
        </w:rPr>
        <w:t xml:space="preserve">Αυτή η πρόοδος οδήγησε σε επαναλαμβανόμενα κέρδη προ φόρων και προβλέψεων από βασικές τραπεζικές δραστηριότητες </w:t>
      </w:r>
      <w:r w:rsidR="00096DF3">
        <w:rPr>
          <w:rFonts w:cstheme="minorHAnsi"/>
          <w:i/>
          <w:iCs/>
          <w:color w:val="000000"/>
          <w:sz w:val="20"/>
          <w:szCs w:val="20"/>
        </w:rPr>
        <w:t xml:space="preserve">ύψους </w:t>
      </w:r>
      <w:r w:rsidR="00E10BEF" w:rsidRPr="00E10BEF">
        <w:rPr>
          <w:rFonts w:cstheme="minorHAnsi"/>
          <w:i/>
          <w:iCs/>
          <w:color w:val="000000"/>
          <w:sz w:val="20"/>
          <w:szCs w:val="20"/>
        </w:rPr>
        <w:t>€0,</w:t>
      </w:r>
      <w:r w:rsidR="00E10BEF">
        <w:rPr>
          <w:rFonts w:cstheme="minorHAnsi"/>
          <w:i/>
          <w:iCs/>
          <w:color w:val="000000"/>
          <w:sz w:val="20"/>
          <w:szCs w:val="20"/>
        </w:rPr>
        <w:t xml:space="preserve">5 δισ. το </w:t>
      </w:r>
      <w:r w:rsidR="00096DF3">
        <w:rPr>
          <w:rFonts w:cstheme="minorHAnsi"/>
          <w:i/>
          <w:iCs/>
          <w:color w:val="000000"/>
          <w:sz w:val="20"/>
          <w:szCs w:val="20"/>
        </w:rPr>
        <w:t xml:space="preserve">πρώτο </w:t>
      </w:r>
      <w:r w:rsidR="00E10BEF">
        <w:rPr>
          <w:rFonts w:cstheme="minorHAnsi"/>
          <w:i/>
          <w:iCs/>
          <w:color w:val="000000"/>
          <w:sz w:val="20"/>
          <w:szCs w:val="20"/>
        </w:rPr>
        <w:t xml:space="preserve">εξάμηνο 2021 </w:t>
      </w:r>
      <w:r w:rsidR="00E10BEF" w:rsidRPr="00E10BEF">
        <w:rPr>
          <w:rFonts w:cstheme="minorHAnsi"/>
          <w:i/>
          <w:iCs/>
          <w:color w:val="000000"/>
          <w:sz w:val="20"/>
          <w:szCs w:val="20"/>
        </w:rPr>
        <w:t>(+</w:t>
      </w:r>
      <w:r w:rsidR="00096DF3">
        <w:rPr>
          <w:rFonts w:cstheme="minorHAnsi"/>
          <w:i/>
          <w:iCs/>
          <w:color w:val="000000"/>
          <w:sz w:val="20"/>
          <w:szCs w:val="20"/>
        </w:rPr>
        <w:t>18% σε ετήσια βάση).</w:t>
      </w:r>
      <w:r w:rsidR="00E10BEF">
        <w:rPr>
          <w:rFonts w:cstheme="minorHAnsi"/>
          <w:i/>
          <w:iCs/>
          <w:color w:val="000000"/>
          <w:sz w:val="20"/>
          <w:szCs w:val="20"/>
        </w:rPr>
        <w:t xml:space="preserve"> </w:t>
      </w:r>
      <w:r w:rsidR="00096DF3">
        <w:rPr>
          <w:rFonts w:cstheme="minorHAnsi"/>
          <w:i/>
          <w:iCs/>
          <w:color w:val="000000"/>
          <w:sz w:val="20"/>
          <w:szCs w:val="20"/>
        </w:rPr>
        <w:t xml:space="preserve">Συμπεριλαμβάνοντας χρηματοοικονομικά και λοιπά έσοδα, </w:t>
      </w:r>
      <w:r w:rsidR="00E10BEF">
        <w:rPr>
          <w:rFonts w:cstheme="minorHAnsi"/>
          <w:i/>
          <w:iCs/>
          <w:color w:val="000000"/>
          <w:sz w:val="20"/>
          <w:szCs w:val="20"/>
        </w:rPr>
        <w:t xml:space="preserve">τα κέρδη προ φόρων και προβλέψεων </w:t>
      </w:r>
      <w:r w:rsidR="00096DF3">
        <w:rPr>
          <w:rFonts w:cstheme="minorHAnsi"/>
          <w:i/>
          <w:iCs/>
          <w:color w:val="000000"/>
          <w:sz w:val="20"/>
          <w:szCs w:val="20"/>
        </w:rPr>
        <w:t xml:space="preserve">διαμορφώθηκαν </w:t>
      </w:r>
      <w:r w:rsidR="00E10BEF">
        <w:rPr>
          <w:rFonts w:cstheme="minorHAnsi"/>
          <w:i/>
          <w:iCs/>
          <w:color w:val="000000"/>
          <w:sz w:val="20"/>
          <w:szCs w:val="20"/>
        </w:rPr>
        <w:t xml:space="preserve">σε </w:t>
      </w:r>
      <w:r w:rsidR="00E10BEF" w:rsidRPr="00E10BEF">
        <w:rPr>
          <w:rFonts w:cstheme="minorHAnsi"/>
          <w:i/>
          <w:iCs/>
          <w:color w:val="000000"/>
          <w:sz w:val="20"/>
          <w:szCs w:val="20"/>
        </w:rPr>
        <w:t xml:space="preserve">€1,0 δισ. </w:t>
      </w:r>
      <w:r w:rsidR="00E10BEF">
        <w:rPr>
          <w:rFonts w:cstheme="minorHAnsi"/>
          <w:i/>
          <w:iCs/>
          <w:color w:val="000000"/>
          <w:sz w:val="20"/>
          <w:szCs w:val="20"/>
        </w:rPr>
        <w:t xml:space="preserve"> </w:t>
      </w:r>
    </w:p>
    <w:p w14:paraId="5E741B08" w14:textId="15DAB192" w:rsidR="001F2A6F" w:rsidRDefault="00DA0EBB" w:rsidP="00161A8A">
      <w:pPr>
        <w:spacing w:before="80" w:after="40"/>
        <w:ind w:left="-284" w:right="249"/>
        <w:jc w:val="both"/>
        <w:rPr>
          <w:rFonts w:cstheme="minorHAnsi"/>
          <w:i/>
          <w:iCs/>
          <w:color w:val="000000"/>
          <w:sz w:val="20"/>
          <w:szCs w:val="20"/>
        </w:rPr>
      </w:pPr>
      <w:r w:rsidRPr="00DA0EBB">
        <w:rPr>
          <w:rFonts w:cstheme="minorHAnsi"/>
          <w:i/>
          <w:iCs/>
          <w:color w:val="000000"/>
          <w:sz w:val="20"/>
          <w:szCs w:val="20"/>
        </w:rPr>
        <w:t xml:space="preserve">Η </w:t>
      </w:r>
      <w:r w:rsidR="00096DF3">
        <w:rPr>
          <w:rFonts w:cstheme="minorHAnsi"/>
          <w:i/>
          <w:iCs/>
          <w:color w:val="000000"/>
          <w:sz w:val="20"/>
          <w:szCs w:val="20"/>
        </w:rPr>
        <w:t xml:space="preserve">πορεία </w:t>
      </w:r>
      <w:r w:rsidR="001F2A6F">
        <w:rPr>
          <w:rFonts w:cstheme="minorHAnsi"/>
          <w:i/>
          <w:iCs/>
          <w:color w:val="000000"/>
          <w:sz w:val="20"/>
          <w:szCs w:val="20"/>
        </w:rPr>
        <w:t>μας</w:t>
      </w:r>
      <w:r w:rsidRPr="00DA0EBB">
        <w:rPr>
          <w:rFonts w:cstheme="minorHAnsi"/>
          <w:i/>
          <w:iCs/>
          <w:color w:val="000000"/>
          <w:sz w:val="20"/>
          <w:szCs w:val="20"/>
        </w:rPr>
        <w:t xml:space="preserve"> μέχρι σήμερα υπερβαίνει τις αρχικές προσδοκίες</w:t>
      </w:r>
      <w:r w:rsidR="001F2A6F">
        <w:rPr>
          <w:rFonts w:cstheme="minorHAnsi"/>
          <w:i/>
          <w:iCs/>
          <w:color w:val="000000"/>
          <w:sz w:val="20"/>
          <w:szCs w:val="20"/>
        </w:rPr>
        <w:t xml:space="preserve">. </w:t>
      </w:r>
      <w:r w:rsidRPr="00DA0EBB">
        <w:rPr>
          <w:rFonts w:cstheme="minorHAnsi"/>
          <w:i/>
          <w:iCs/>
          <w:color w:val="000000"/>
          <w:sz w:val="20"/>
          <w:szCs w:val="20"/>
        </w:rPr>
        <w:t>Τόσο η αύξηση μετοχικού κεφαλαίου</w:t>
      </w:r>
      <w:r w:rsidR="001F2A6F">
        <w:rPr>
          <w:rFonts w:cstheme="minorHAnsi"/>
          <w:i/>
          <w:iCs/>
          <w:color w:val="000000"/>
          <w:sz w:val="20"/>
          <w:szCs w:val="20"/>
        </w:rPr>
        <w:t xml:space="preserve"> ύψους €1,4 δισ.</w:t>
      </w:r>
      <w:r w:rsidRPr="00DA0EBB">
        <w:rPr>
          <w:rFonts w:cstheme="minorHAnsi"/>
          <w:i/>
          <w:iCs/>
          <w:color w:val="000000"/>
          <w:sz w:val="20"/>
          <w:szCs w:val="20"/>
        </w:rPr>
        <w:t xml:space="preserve">, όσο και η έκδοση ομολόγου </w:t>
      </w:r>
      <w:r w:rsidRPr="00DA0EBB">
        <w:rPr>
          <w:rFonts w:cstheme="minorHAnsi"/>
          <w:i/>
          <w:iCs/>
          <w:color w:val="000000"/>
          <w:sz w:val="20"/>
          <w:szCs w:val="20"/>
          <w:lang w:val="en-GB"/>
        </w:rPr>
        <w:t>Additional</w:t>
      </w:r>
      <w:r w:rsidRPr="00DA0EBB">
        <w:rPr>
          <w:rFonts w:cstheme="minorHAnsi"/>
          <w:i/>
          <w:iCs/>
          <w:color w:val="000000"/>
          <w:sz w:val="20"/>
          <w:szCs w:val="20"/>
        </w:rPr>
        <w:t xml:space="preserve"> </w:t>
      </w:r>
      <w:r w:rsidRPr="00DA0EBB">
        <w:rPr>
          <w:rFonts w:cstheme="minorHAnsi"/>
          <w:i/>
          <w:iCs/>
          <w:color w:val="000000"/>
          <w:sz w:val="20"/>
          <w:szCs w:val="20"/>
          <w:lang w:val="en-GB"/>
        </w:rPr>
        <w:t>Tier</w:t>
      </w:r>
      <w:r w:rsidRPr="00DA0EBB">
        <w:rPr>
          <w:rFonts w:cstheme="minorHAnsi"/>
          <w:i/>
          <w:iCs/>
          <w:color w:val="000000"/>
          <w:sz w:val="20"/>
          <w:szCs w:val="20"/>
        </w:rPr>
        <w:t xml:space="preserve"> 1</w:t>
      </w:r>
      <w:r w:rsidR="001F2A6F" w:rsidRPr="001F2A6F">
        <w:rPr>
          <w:rFonts w:cstheme="minorHAnsi"/>
          <w:i/>
          <w:iCs/>
          <w:color w:val="000000"/>
          <w:sz w:val="20"/>
          <w:szCs w:val="20"/>
        </w:rPr>
        <w:t xml:space="preserve"> </w:t>
      </w:r>
      <w:r w:rsidR="001F2A6F">
        <w:rPr>
          <w:rFonts w:cstheme="minorHAnsi"/>
          <w:i/>
          <w:iCs/>
          <w:color w:val="000000"/>
          <w:sz w:val="20"/>
          <w:szCs w:val="20"/>
        </w:rPr>
        <w:t>ύψους €0,6 δισ.</w:t>
      </w:r>
      <w:r w:rsidRPr="00DA0EBB">
        <w:rPr>
          <w:rFonts w:cstheme="minorHAnsi"/>
          <w:i/>
          <w:iCs/>
          <w:color w:val="000000"/>
          <w:sz w:val="20"/>
          <w:szCs w:val="20"/>
        </w:rPr>
        <w:t xml:space="preserve">, ολοκληρώθηκαν με επιτυχία κατά το δεύτερο τρίμηνο του έτους και αποτέλεσαν </w:t>
      </w:r>
      <w:r w:rsidR="00096DF3">
        <w:rPr>
          <w:rFonts w:cstheme="minorHAnsi"/>
          <w:i/>
          <w:iCs/>
          <w:color w:val="000000"/>
          <w:sz w:val="20"/>
          <w:szCs w:val="20"/>
        </w:rPr>
        <w:t xml:space="preserve">δύο </w:t>
      </w:r>
      <w:r w:rsidRPr="00DA0EBB">
        <w:rPr>
          <w:rFonts w:cstheme="minorHAnsi"/>
          <w:i/>
          <w:iCs/>
          <w:color w:val="000000"/>
          <w:sz w:val="20"/>
          <w:szCs w:val="20"/>
        </w:rPr>
        <w:t>σημαντικ</w:t>
      </w:r>
      <w:r w:rsidR="001F2A6F">
        <w:rPr>
          <w:rFonts w:cstheme="minorHAnsi"/>
          <w:i/>
          <w:iCs/>
          <w:color w:val="000000"/>
          <w:sz w:val="20"/>
          <w:szCs w:val="20"/>
        </w:rPr>
        <w:t>ά</w:t>
      </w:r>
      <w:r w:rsidRPr="00DA0EBB">
        <w:rPr>
          <w:rFonts w:cstheme="minorHAnsi"/>
          <w:i/>
          <w:iCs/>
          <w:color w:val="000000"/>
          <w:sz w:val="20"/>
          <w:szCs w:val="20"/>
        </w:rPr>
        <w:t xml:space="preserve"> ορόσημ</w:t>
      </w:r>
      <w:r w:rsidR="001F2A6F">
        <w:rPr>
          <w:rFonts w:cstheme="minorHAnsi"/>
          <w:i/>
          <w:iCs/>
          <w:color w:val="000000"/>
          <w:sz w:val="20"/>
          <w:szCs w:val="20"/>
        </w:rPr>
        <w:t>α</w:t>
      </w:r>
      <w:r w:rsidRPr="00DA0EBB">
        <w:rPr>
          <w:rFonts w:cstheme="minorHAnsi"/>
          <w:i/>
          <w:iCs/>
          <w:color w:val="000000"/>
          <w:sz w:val="20"/>
          <w:szCs w:val="20"/>
        </w:rPr>
        <w:t>.</w:t>
      </w:r>
    </w:p>
    <w:p w14:paraId="1254649A" w14:textId="58E2DDC0" w:rsidR="00F04C0C" w:rsidRDefault="00DA0EBB" w:rsidP="00161A8A">
      <w:pPr>
        <w:spacing w:before="80" w:after="40"/>
        <w:ind w:left="-284" w:right="249"/>
        <w:jc w:val="both"/>
        <w:rPr>
          <w:rFonts w:cstheme="minorHAnsi"/>
          <w:i/>
          <w:iCs/>
          <w:color w:val="000000"/>
          <w:sz w:val="20"/>
          <w:szCs w:val="20"/>
        </w:rPr>
      </w:pPr>
      <w:r w:rsidRPr="00DA0EBB">
        <w:rPr>
          <w:rFonts w:cstheme="minorHAnsi"/>
          <w:i/>
          <w:iCs/>
          <w:color w:val="000000"/>
          <w:sz w:val="20"/>
          <w:szCs w:val="20"/>
        </w:rPr>
        <w:t xml:space="preserve">Το σχέδιο μείωσης αποθέματος </w:t>
      </w:r>
      <w:r w:rsidRPr="00DA0EBB">
        <w:rPr>
          <w:rFonts w:cstheme="minorHAnsi"/>
          <w:i/>
          <w:iCs/>
          <w:color w:val="000000"/>
          <w:sz w:val="20"/>
          <w:szCs w:val="20"/>
          <w:lang w:val="en-GB"/>
        </w:rPr>
        <w:t>NPE</w:t>
      </w:r>
      <w:r w:rsidRPr="00DA0EBB">
        <w:rPr>
          <w:rFonts w:cstheme="minorHAnsi"/>
          <w:i/>
          <w:iCs/>
          <w:color w:val="000000"/>
          <w:sz w:val="20"/>
          <w:szCs w:val="20"/>
        </w:rPr>
        <w:t xml:space="preserve"> είναι σε τροχιά επίτευξης</w:t>
      </w:r>
      <w:r w:rsidR="00ED64DF">
        <w:rPr>
          <w:rFonts w:cstheme="minorHAnsi"/>
          <w:i/>
          <w:iCs/>
          <w:color w:val="000000"/>
          <w:sz w:val="20"/>
          <w:szCs w:val="20"/>
        </w:rPr>
        <w:t xml:space="preserve"> με στόχο </w:t>
      </w:r>
      <w:r w:rsidR="00ED64DF" w:rsidRPr="00DA0EBB">
        <w:rPr>
          <w:rFonts w:cstheme="minorHAnsi"/>
          <w:i/>
          <w:iCs/>
          <w:color w:val="000000"/>
          <w:sz w:val="20"/>
          <w:szCs w:val="20"/>
        </w:rPr>
        <w:t xml:space="preserve">μονοψήφιο δείκτη </w:t>
      </w:r>
      <w:r w:rsidR="00ED64DF" w:rsidRPr="00DA0EBB">
        <w:rPr>
          <w:rFonts w:cstheme="minorHAnsi"/>
          <w:i/>
          <w:iCs/>
          <w:color w:val="000000"/>
          <w:sz w:val="20"/>
          <w:szCs w:val="20"/>
          <w:lang w:val="en-GB"/>
        </w:rPr>
        <w:t>NPE</w:t>
      </w:r>
      <w:r w:rsidR="00ED64DF">
        <w:rPr>
          <w:rFonts w:cstheme="minorHAnsi"/>
          <w:i/>
          <w:iCs/>
          <w:color w:val="000000"/>
          <w:sz w:val="20"/>
          <w:szCs w:val="20"/>
        </w:rPr>
        <w:t xml:space="preserve"> έως τις άρχες του 2022. </w:t>
      </w:r>
      <w:r w:rsidR="00AF2C83">
        <w:rPr>
          <w:rFonts w:cstheme="minorHAnsi"/>
          <w:i/>
          <w:iCs/>
          <w:color w:val="000000"/>
          <w:sz w:val="20"/>
          <w:szCs w:val="20"/>
        </w:rPr>
        <w:t xml:space="preserve">Η μείωση </w:t>
      </w:r>
      <w:r w:rsidR="00AF2C83">
        <w:rPr>
          <w:rFonts w:cstheme="minorHAnsi"/>
          <w:i/>
          <w:iCs/>
          <w:color w:val="000000"/>
          <w:sz w:val="20"/>
          <w:szCs w:val="20"/>
          <w:lang w:val="en-US"/>
        </w:rPr>
        <w:t>NPE</w:t>
      </w:r>
      <w:r w:rsidR="00AF2C83" w:rsidRPr="00AF2C83">
        <w:rPr>
          <w:rFonts w:cstheme="minorHAnsi"/>
          <w:i/>
          <w:iCs/>
          <w:color w:val="000000"/>
          <w:sz w:val="20"/>
          <w:szCs w:val="20"/>
        </w:rPr>
        <w:t xml:space="preserve"> </w:t>
      </w:r>
      <w:r w:rsidR="00096DF3">
        <w:rPr>
          <w:rFonts w:cstheme="minorHAnsi"/>
          <w:i/>
          <w:iCs/>
          <w:color w:val="000000"/>
          <w:sz w:val="20"/>
          <w:szCs w:val="20"/>
        </w:rPr>
        <w:t>διαμορφώθηκε</w:t>
      </w:r>
      <w:r w:rsidR="00AF2C83">
        <w:rPr>
          <w:rFonts w:cstheme="minorHAnsi"/>
          <w:i/>
          <w:iCs/>
          <w:color w:val="000000"/>
          <w:sz w:val="20"/>
          <w:szCs w:val="20"/>
        </w:rPr>
        <w:t xml:space="preserve"> σε </w:t>
      </w:r>
      <w:r w:rsidRPr="00DA0EBB">
        <w:rPr>
          <w:rFonts w:cstheme="minorHAnsi"/>
          <w:i/>
          <w:iCs/>
          <w:color w:val="000000"/>
          <w:sz w:val="20"/>
          <w:szCs w:val="20"/>
        </w:rPr>
        <w:t>€</w:t>
      </w:r>
      <w:r w:rsidR="00ED64DF">
        <w:rPr>
          <w:rFonts w:cstheme="minorHAnsi"/>
          <w:i/>
          <w:iCs/>
          <w:color w:val="000000"/>
          <w:sz w:val="20"/>
          <w:szCs w:val="20"/>
        </w:rPr>
        <w:t xml:space="preserve">13,5 </w:t>
      </w:r>
      <w:r w:rsidRPr="00DA0EBB">
        <w:rPr>
          <w:rFonts w:cstheme="minorHAnsi"/>
          <w:i/>
          <w:iCs/>
          <w:color w:val="000000"/>
          <w:sz w:val="20"/>
          <w:szCs w:val="20"/>
        </w:rPr>
        <w:t xml:space="preserve">δισ. </w:t>
      </w:r>
      <w:r w:rsidR="00AF2C83">
        <w:rPr>
          <w:rFonts w:cstheme="minorHAnsi"/>
          <w:i/>
          <w:iCs/>
          <w:color w:val="000000"/>
          <w:sz w:val="20"/>
          <w:szCs w:val="20"/>
        </w:rPr>
        <w:t xml:space="preserve">το πρώτο εξάμηνο του έτους, </w:t>
      </w:r>
      <w:r w:rsidR="00ED64DF">
        <w:rPr>
          <w:rFonts w:cstheme="minorHAnsi"/>
          <w:i/>
          <w:iCs/>
          <w:color w:val="000000"/>
          <w:sz w:val="20"/>
          <w:szCs w:val="20"/>
        </w:rPr>
        <w:t xml:space="preserve">ως αποτέλεσμα των συναλλαγών </w:t>
      </w:r>
      <w:r w:rsidR="00F04C0C" w:rsidRPr="00F04C0C">
        <w:rPr>
          <w:rFonts w:cstheme="minorHAnsi"/>
          <w:i/>
          <w:iCs/>
          <w:color w:val="000000"/>
          <w:sz w:val="20"/>
          <w:szCs w:val="20"/>
        </w:rPr>
        <w:t>Phoenix, Vega και Sunrise 1 που υπάγονται στο πρόγραμμα</w:t>
      </w:r>
      <w:r w:rsidR="00F04C0C">
        <w:rPr>
          <w:rFonts w:cstheme="minorHAnsi"/>
          <w:i/>
          <w:iCs/>
          <w:color w:val="000000"/>
          <w:sz w:val="20"/>
          <w:szCs w:val="20"/>
        </w:rPr>
        <w:t xml:space="preserve"> </w:t>
      </w:r>
      <w:r w:rsidR="00B53B1A">
        <w:rPr>
          <w:rFonts w:cstheme="minorHAnsi"/>
          <w:i/>
          <w:iCs/>
          <w:color w:val="000000"/>
          <w:sz w:val="20"/>
          <w:szCs w:val="20"/>
        </w:rPr>
        <w:t>«Ηρακλής»</w:t>
      </w:r>
      <w:r w:rsidR="00AF2C83">
        <w:rPr>
          <w:rFonts w:cstheme="minorHAnsi"/>
          <w:i/>
          <w:iCs/>
          <w:color w:val="000000"/>
          <w:sz w:val="20"/>
          <w:szCs w:val="20"/>
        </w:rPr>
        <w:t xml:space="preserve">, </w:t>
      </w:r>
      <w:r w:rsidR="00B53B1A">
        <w:rPr>
          <w:rFonts w:cstheme="minorHAnsi"/>
          <w:i/>
          <w:iCs/>
          <w:color w:val="000000"/>
          <w:sz w:val="20"/>
          <w:szCs w:val="20"/>
        </w:rPr>
        <w:t xml:space="preserve">καθώς </w:t>
      </w:r>
      <w:r w:rsidR="005B5A75">
        <w:rPr>
          <w:rFonts w:cstheme="minorHAnsi"/>
          <w:i/>
          <w:iCs/>
          <w:color w:val="000000"/>
          <w:sz w:val="20"/>
          <w:szCs w:val="20"/>
        </w:rPr>
        <w:t xml:space="preserve">επίσης </w:t>
      </w:r>
      <w:r w:rsidR="00AF2C83">
        <w:rPr>
          <w:rFonts w:cstheme="minorHAnsi"/>
          <w:i/>
          <w:iCs/>
          <w:color w:val="000000"/>
          <w:sz w:val="20"/>
          <w:szCs w:val="20"/>
        </w:rPr>
        <w:t>και τ</w:t>
      </w:r>
      <w:r w:rsidR="005B5A75">
        <w:rPr>
          <w:rFonts w:cstheme="minorHAnsi"/>
          <w:i/>
          <w:iCs/>
          <w:color w:val="000000"/>
          <w:sz w:val="20"/>
          <w:szCs w:val="20"/>
        </w:rPr>
        <w:t xml:space="preserve">ων </w:t>
      </w:r>
      <w:r w:rsidR="00AF2C83">
        <w:rPr>
          <w:rFonts w:cstheme="minorHAnsi"/>
          <w:i/>
          <w:iCs/>
          <w:color w:val="000000"/>
          <w:sz w:val="20"/>
          <w:szCs w:val="20"/>
        </w:rPr>
        <w:t>οργανικ</w:t>
      </w:r>
      <w:r w:rsidR="005B5A75">
        <w:rPr>
          <w:rFonts w:cstheme="minorHAnsi"/>
          <w:i/>
          <w:iCs/>
          <w:color w:val="000000"/>
          <w:sz w:val="20"/>
          <w:szCs w:val="20"/>
        </w:rPr>
        <w:t>ών ροών</w:t>
      </w:r>
      <w:r w:rsidR="00F04C0C" w:rsidRPr="00F04C0C">
        <w:rPr>
          <w:rFonts w:cstheme="minorHAnsi"/>
          <w:i/>
          <w:iCs/>
          <w:color w:val="000000"/>
          <w:sz w:val="20"/>
          <w:szCs w:val="20"/>
        </w:rPr>
        <w:t xml:space="preserve">. </w:t>
      </w:r>
      <w:r w:rsidR="00F04C0C">
        <w:rPr>
          <w:rFonts w:cstheme="minorHAnsi"/>
          <w:i/>
          <w:iCs/>
          <w:color w:val="000000"/>
          <w:sz w:val="20"/>
          <w:szCs w:val="20"/>
        </w:rPr>
        <w:t xml:space="preserve">Επιπλέον, η </w:t>
      </w:r>
      <w:r w:rsidRPr="00DA0EBB">
        <w:rPr>
          <w:rFonts w:cstheme="minorHAnsi"/>
          <w:i/>
          <w:iCs/>
          <w:color w:val="000000"/>
          <w:sz w:val="20"/>
          <w:szCs w:val="20"/>
        </w:rPr>
        <w:t xml:space="preserve">διανομή σε είδος στους μετόχους μας, των μετοχών που </w:t>
      </w:r>
      <w:r w:rsidR="00F04C0C">
        <w:rPr>
          <w:rFonts w:cstheme="minorHAnsi"/>
          <w:i/>
          <w:iCs/>
          <w:color w:val="000000"/>
          <w:sz w:val="20"/>
          <w:szCs w:val="20"/>
        </w:rPr>
        <w:t>αντιστοιχούν σ</w:t>
      </w:r>
      <w:r w:rsidRPr="00DA0EBB">
        <w:rPr>
          <w:rFonts w:cstheme="minorHAnsi"/>
          <w:i/>
          <w:iCs/>
          <w:color w:val="000000"/>
          <w:sz w:val="20"/>
          <w:szCs w:val="20"/>
        </w:rPr>
        <w:t xml:space="preserve">το 65% των </w:t>
      </w:r>
      <w:r w:rsidR="00096DF3">
        <w:rPr>
          <w:rFonts w:cstheme="minorHAnsi"/>
          <w:i/>
          <w:iCs/>
          <w:color w:val="000000"/>
          <w:sz w:val="20"/>
          <w:szCs w:val="20"/>
        </w:rPr>
        <w:t xml:space="preserve">τίτλων </w:t>
      </w:r>
      <w:r w:rsidRPr="00DA0EBB">
        <w:rPr>
          <w:rFonts w:cstheme="minorHAnsi"/>
          <w:i/>
          <w:iCs/>
          <w:color w:val="000000"/>
          <w:sz w:val="20"/>
          <w:szCs w:val="20"/>
        </w:rPr>
        <w:t>μεσαίας προεξοφλητικής προτεραιότητα</w:t>
      </w:r>
      <w:r w:rsidR="00AF2C83">
        <w:rPr>
          <w:rFonts w:cstheme="minorHAnsi"/>
          <w:i/>
          <w:iCs/>
          <w:color w:val="000000"/>
          <w:sz w:val="20"/>
          <w:szCs w:val="20"/>
        </w:rPr>
        <w:t xml:space="preserve">ς των τιτλοποιήσεων </w:t>
      </w:r>
      <w:r w:rsidR="00AF2C83">
        <w:rPr>
          <w:rFonts w:cstheme="minorHAnsi"/>
          <w:i/>
          <w:iCs/>
          <w:color w:val="000000"/>
          <w:sz w:val="20"/>
          <w:szCs w:val="20"/>
          <w:lang w:val="en-US"/>
        </w:rPr>
        <w:t>NPE</w:t>
      </w:r>
      <w:r w:rsidR="00AF2C83" w:rsidRPr="00AF2C83">
        <w:rPr>
          <w:rFonts w:cstheme="minorHAnsi"/>
          <w:i/>
          <w:iCs/>
          <w:color w:val="000000"/>
          <w:sz w:val="20"/>
          <w:szCs w:val="20"/>
        </w:rPr>
        <w:t xml:space="preserve"> </w:t>
      </w:r>
      <w:r w:rsidR="00A170F9" w:rsidRPr="00A170F9">
        <w:rPr>
          <w:rFonts w:cstheme="minorHAnsi"/>
          <w:i/>
          <w:iCs/>
          <w:color w:val="000000"/>
          <w:sz w:val="20"/>
          <w:szCs w:val="20"/>
        </w:rPr>
        <w:t>Phoenix και Vega, έχει προγραμματισ</w:t>
      </w:r>
      <w:r w:rsidR="00096DF3">
        <w:rPr>
          <w:rFonts w:cstheme="minorHAnsi"/>
          <w:i/>
          <w:iCs/>
          <w:color w:val="000000"/>
          <w:sz w:val="20"/>
          <w:szCs w:val="20"/>
        </w:rPr>
        <w:t>θ</w:t>
      </w:r>
      <w:r w:rsidR="00A170F9" w:rsidRPr="00A170F9">
        <w:rPr>
          <w:rFonts w:cstheme="minorHAnsi"/>
          <w:i/>
          <w:iCs/>
          <w:color w:val="000000"/>
          <w:sz w:val="20"/>
          <w:szCs w:val="20"/>
        </w:rPr>
        <w:t xml:space="preserve">εί </w:t>
      </w:r>
      <w:r w:rsidR="00096DF3">
        <w:rPr>
          <w:rFonts w:cstheme="minorHAnsi"/>
          <w:i/>
          <w:iCs/>
          <w:color w:val="000000"/>
          <w:sz w:val="20"/>
          <w:szCs w:val="20"/>
        </w:rPr>
        <w:t xml:space="preserve">για </w:t>
      </w:r>
      <w:r w:rsidR="00A170F9">
        <w:rPr>
          <w:rFonts w:cstheme="minorHAnsi"/>
          <w:i/>
          <w:iCs/>
          <w:color w:val="000000"/>
          <w:sz w:val="20"/>
          <w:szCs w:val="20"/>
        </w:rPr>
        <w:t>τις επόμενες ημέρες.</w:t>
      </w:r>
    </w:p>
    <w:p w14:paraId="6B438194" w14:textId="712E850F" w:rsidR="00F20CCC" w:rsidRDefault="00AF2C83" w:rsidP="00161A8A">
      <w:pPr>
        <w:spacing w:before="80" w:after="40"/>
        <w:ind w:left="-284" w:right="249"/>
        <w:jc w:val="both"/>
        <w:rPr>
          <w:rFonts w:cstheme="minorHAnsi"/>
          <w:i/>
          <w:iCs/>
          <w:color w:val="000000"/>
          <w:sz w:val="20"/>
          <w:szCs w:val="20"/>
        </w:rPr>
      </w:pPr>
      <w:r w:rsidRPr="00AF2C83">
        <w:rPr>
          <w:rFonts w:cstheme="minorHAnsi"/>
          <w:i/>
          <w:iCs/>
          <w:color w:val="000000"/>
          <w:sz w:val="20"/>
          <w:szCs w:val="20"/>
        </w:rPr>
        <w:t>Η κεφαλαιακή μας θέση είναι ισχυρή και τ</w:t>
      </w:r>
      <w:r w:rsidR="00981BD5">
        <w:rPr>
          <w:rFonts w:cstheme="minorHAnsi"/>
          <w:i/>
          <w:iCs/>
          <w:color w:val="000000"/>
          <w:sz w:val="20"/>
          <w:szCs w:val="20"/>
        </w:rPr>
        <w:t>ο</w:t>
      </w:r>
      <w:r w:rsidRPr="00AF2C83">
        <w:rPr>
          <w:rFonts w:cstheme="minorHAnsi"/>
          <w:i/>
          <w:iCs/>
          <w:color w:val="000000"/>
          <w:sz w:val="20"/>
          <w:szCs w:val="20"/>
        </w:rPr>
        <w:t xml:space="preserve"> πρόσφατο αποτέλεσμα της προσομοίωσης ακραίων καταστάσεων του Ενιαίου Εποπτικού Μηχανισμού </w:t>
      </w:r>
      <w:r w:rsidR="004F0DA2">
        <w:rPr>
          <w:rFonts w:cstheme="minorHAnsi"/>
          <w:i/>
          <w:iCs/>
          <w:color w:val="000000"/>
          <w:sz w:val="20"/>
          <w:szCs w:val="20"/>
        </w:rPr>
        <w:t xml:space="preserve">συνιστά μία περαιτέρω </w:t>
      </w:r>
      <w:r w:rsidR="00210FFD">
        <w:rPr>
          <w:rFonts w:cstheme="minorHAnsi"/>
          <w:i/>
          <w:iCs/>
          <w:color w:val="000000"/>
          <w:sz w:val="20"/>
          <w:szCs w:val="20"/>
        </w:rPr>
        <w:t>απόδειξη</w:t>
      </w:r>
      <w:r w:rsidRPr="00AF2C83">
        <w:rPr>
          <w:rFonts w:cstheme="minorHAnsi"/>
          <w:i/>
          <w:iCs/>
          <w:color w:val="000000"/>
          <w:sz w:val="20"/>
          <w:szCs w:val="20"/>
        </w:rPr>
        <w:t xml:space="preserve">. Ο δείκτης επάρκειας βασικών ιδίων κεφαλαίων CET1 </w:t>
      </w:r>
      <w:r w:rsidR="00F20CCC">
        <w:rPr>
          <w:rFonts w:cstheme="minorHAnsi"/>
          <w:i/>
          <w:iCs/>
          <w:color w:val="000000"/>
          <w:sz w:val="20"/>
          <w:szCs w:val="20"/>
        </w:rPr>
        <w:t>(</w:t>
      </w:r>
      <w:r w:rsidRPr="00AF2C83">
        <w:rPr>
          <w:rFonts w:cstheme="minorHAnsi"/>
          <w:i/>
          <w:iCs/>
          <w:color w:val="000000"/>
          <w:sz w:val="20"/>
          <w:szCs w:val="20"/>
        </w:rPr>
        <w:t>σε πλήρη εφαρμογή του εποπτικού πλαισίου της Βασιλείας ΙΙΙ</w:t>
      </w:r>
      <w:r w:rsidR="00F20CCC">
        <w:rPr>
          <w:rFonts w:cstheme="minorHAnsi"/>
          <w:i/>
          <w:iCs/>
          <w:color w:val="000000"/>
          <w:sz w:val="20"/>
          <w:szCs w:val="20"/>
        </w:rPr>
        <w:t>)</w:t>
      </w:r>
      <w:r w:rsidRPr="00AF2C83">
        <w:rPr>
          <w:rFonts w:cstheme="minorHAnsi"/>
          <w:i/>
          <w:iCs/>
          <w:color w:val="000000"/>
          <w:sz w:val="20"/>
          <w:szCs w:val="20"/>
        </w:rPr>
        <w:t xml:space="preserve"> υπό </w:t>
      </w:r>
      <w:r w:rsidR="00F20CCC">
        <w:rPr>
          <w:rFonts w:cstheme="minorHAnsi"/>
          <w:i/>
          <w:iCs/>
          <w:color w:val="000000"/>
          <w:sz w:val="20"/>
          <w:szCs w:val="20"/>
        </w:rPr>
        <w:t>το δυσμενές σενάριο της άσκησης και</w:t>
      </w:r>
      <w:r w:rsidRPr="00AF2C83">
        <w:rPr>
          <w:rFonts w:cstheme="minorHAnsi"/>
          <w:i/>
          <w:iCs/>
          <w:color w:val="000000"/>
          <w:sz w:val="20"/>
          <w:szCs w:val="20"/>
        </w:rPr>
        <w:t xml:space="preserve"> λαμβάνοντας</w:t>
      </w:r>
      <w:r w:rsidR="00F20CCC">
        <w:rPr>
          <w:rFonts w:cstheme="minorHAnsi"/>
          <w:i/>
          <w:iCs/>
          <w:color w:val="000000"/>
          <w:sz w:val="20"/>
          <w:szCs w:val="20"/>
        </w:rPr>
        <w:t xml:space="preserve"> υπόψη την </w:t>
      </w:r>
      <w:r w:rsidR="004F0DA2">
        <w:rPr>
          <w:rFonts w:cstheme="minorHAnsi"/>
          <w:i/>
          <w:iCs/>
          <w:color w:val="000000"/>
          <w:sz w:val="20"/>
          <w:szCs w:val="20"/>
        </w:rPr>
        <w:t>υλοποιηθείσα</w:t>
      </w:r>
      <w:r w:rsidR="00F20CCC">
        <w:rPr>
          <w:rFonts w:cstheme="minorHAnsi"/>
          <w:i/>
          <w:iCs/>
          <w:color w:val="000000"/>
          <w:sz w:val="20"/>
          <w:szCs w:val="20"/>
        </w:rPr>
        <w:t xml:space="preserve"> αύξηση </w:t>
      </w:r>
      <w:r w:rsidRPr="00AF2C83">
        <w:rPr>
          <w:rFonts w:cstheme="minorHAnsi"/>
          <w:i/>
          <w:iCs/>
          <w:color w:val="000000"/>
          <w:sz w:val="20"/>
          <w:szCs w:val="20"/>
        </w:rPr>
        <w:t>μετοχικού κεφαλαίου, διαμορφώθηκε σε 10,0%, στο ίδιο επίπεδο με τ</w:t>
      </w:r>
      <w:r w:rsidR="00C719FA">
        <w:rPr>
          <w:rFonts w:cstheme="minorHAnsi"/>
          <w:i/>
          <w:iCs/>
          <w:color w:val="000000"/>
          <w:sz w:val="20"/>
          <w:szCs w:val="20"/>
        </w:rPr>
        <w:t xml:space="preserve">ον </w:t>
      </w:r>
      <w:r w:rsidRPr="00AF2C83">
        <w:rPr>
          <w:rFonts w:cstheme="minorHAnsi"/>
          <w:i/>
          <w:iCs/>
          <w:color w:val="000000"/>
          <w:sz w:val="20"/>
          <w:szCs w:val="20"/>
        </w:rPr>
        <w:t>ευρωπαϊκ</w:t>
      </w:r>
      <w:r w:rsidR="00C719FA">
        <w:rPr>
          <w:rFonts w:cstheme="minorHAnsi"/>
          <w:i/>
          <w:iCs/>
          <w:color w:val="000000"/>
          <w:sz w:val="20"/>
          <w:szCs w:val="20"/>
        </w:rPr>
        <w:t xml:space="preserve">ό </w:t>
      </w:r>
      <w:r w:rsidRPr="00AF2C83">
        <w:rPr>
          <w:rFonts w:cstheme="minorHAnsi"/>
          <w:i/>
          <w:iCs/>
          <w:color w:val="000000"/>
          <w:sz w:val="20"/>
          <w:szCs w:val="20"/>
        </w:rPr>
        <w:t>μέσο όρο.</w:t>
      </w:r>
    </w:p>
    <w:p w14:paraId="36F77263" w14:textId="1E5CBBE3" w:rsidR="00AF2C83" w:rsidRPr="00DA0EBB" w:rsidRDefault="00F20CCC" w:rsidP="00161A8A">
      <w:pPr>
        <w:spacing w:before="80" w:after="40"/>
        <w:ind w:left="-284" w:right="249"/>
        <w:jc w:val="both"/>
        <w:rPr>
          <w:rFonts w:cstheme="minorHAnsi"/>
          <w:i/>
          <w:iCs/>
          <w:color w:val="000000"/>
          <w:sz w:val="20"/>
          <w:szCs w:val="20"/>
        </w:rPr>
      </w:pPr>
      <w:r w:rsidRPr="00F20CCC">
        <w:rPr>
          <w:rFonts w:cstheme="minorHAnsi"/>
          <w:i/>
          <w:iCs/>
          <w:color w:val="000000"/>
          <w:sz w:val="20"/>
          <w:szCs w:val="20"/>
        </w:rPr>
        <w:t>Επιδιώκουμε</w:t>
      </w:r>
      <w:r>
        <w:rPr>
          <w:rFonts w:cstheme="minorHAnsi"/>
          <w:i/>
          <w:iCs/>
          <w:color w:val="000000"/>
          <w:sz w:val="20"/>
          <w:szCs w:val="20"/>
        </w:rPr>
        <w:t xml:space="preserve"> </w:t>
      </w:r>
      <w:r w:rsidR="004F0DA2">
        <w:rPr>
          <w:rFonts w:cstheme="minorHAnsi"/>
          <w:i/>
          <w:iCs/>
          <w:color w:val="000000"/>
          <w:sz w:val="20"/>
          <w:szCs w:val="20"/>
        </w:rPr>
        <w:t xml:space="preserve">πρόσθετα </w:t>
      </w:r>
      <w:r w:rsidRPr="00F20CCC">
        <w:rPr>
          <w:rFonts w:cstheme="minorHAnsi"/>
          <w:i/>
          <w:iCs/>
          <w:color w:val="000000"/>
          <w:sz w:val="20"/>
          <w:szCs w:val="20"/>
        </w:rPr>
        <w:t xml:space="preserve">απτά αποτελέσματα. Προχωράμε στην υλοποίηση νέων στρατηγικών πρωτοβουλιών, με στόχο την αξιοποίηση νέων ευκαιριών, ειδικότερα μέσω της μόχλευσης των διαρθρωτικών πόρων του Ταμείου Ανάκαμψης, </w:t>
      </w:r>
      <w:r w:rsidR="00797C20">
        <w:rPr>
          <w:rFonts w:cstheme="minorHAnsi"/>
          <w:i/>
          <w:iCs/>
          <w:color w:val="000000"/>
          <w:sz w:val="20"/>
          <w:szCs w:val="20"/>
        </w:rPr>
        <w:t xml:space="preserve">αυξάνοντας τα υπό διαχείριση περιουσιακά </w:t>
      </w:r>
      <w:r w:rsidR="004F0DA2">
        <w:rPr>
          <w:rFonts w:cstheme="minorHAnsi"/>
          <w:i/>
          <w:iCs/>
          <w:color w:val="000000"/>
          <w:sz w:val="20"/>
          <w:szCs w:val="20"/>
        </w:rPr>
        <w:t>στοιχεία των πελατών μας</w:t>
      </w:r>
      <w:r w:rsidR="00797C20">
        <w:rPr>
          <w:rFonts w:cstheme="minorHAnsi"/>
          <w:i/>
          <w:iCs/>
          <w:color w:val="000000"/>
          <w:sz w:val="20"/>
          <w:szCs w:val="20"/>
        </w:rPr>
        <w:t xml:space="preserve">, </w:t>
      </w:r>
      <w:r w:rsidRPr="00F20CCC">
        <w:rPr>
          <w:rFonts w:cstheme="minorHAnsi"/>
          <w:i/>
          <w:iCs/>
          <w:color w:val="000000"/>
          <w:sz w:val="20"/>
          <w:szCs w:val="20"/>
        </w:rPr>
        <w:t xml:space="preserve">εισάγοντας νέες στρατηγικές διαχείρισης </w:t>
      </w:r>
      <w:r>
        <w:rPr>
          <w:rFonts w:cstheme="minorHAnsi"/>
          <w:i/>
          <w:iCs/>
          <w:color w:val="000000"/>
          <w:sz w:val="20"/>
          <w:szCs w:val="20"/>
        </w:rPr>
        <w:t xml:space="preserve">του χαρτοφυλακίου </w:t>
      </w:r>
      <w:r w:rsidRPr="00F20CCC">
        <w:rPr>
          <w:rFonts w:cstheme="minorHAnsi"/>
          <w:i/>
          <w:iCs/>
          <w:color w:val="000000"/>
          <w:sz w:val="20"/>
          <w:szCs w:val="20"/>
        </w:rPr>
        <w:t xml:space="preserve">ακινήτων για την </w:t>
      </w:r>
      <w:r w:rsidR="004F0DA2">
        <w:rPr>
          <w:rFonts w:cstheme="minorHAnsi"/>
          <w:i/>
          <w:iCs/>
          <w:color w:val="000000"/>
          <w:sz w:val="20"/>
          <w:szCs w:val="20"/>
        </w:rPr>
        <w:t>αξιοποίηση</w:t>
      </w:r>
      <w:r w:rsidRPr="00F20CCC">
        <w:rPr>
          <w:rFonts w:cstheme="minorHAnsi"/>
          <w:i/>
          <w:iCs/>
          <w:color w:val="000000"/>
          <w:sz w:val="20"/>
          <w:szCs w:val="20"/>
        </w:rPr>
        <w:t xml:space="preserve"> της αναμενόμενης ανοδικής τάσης, παράλληλα </w:t>
      </w:r>
      <w:r w:rsidR="004F0DA2">
        <w:rPr>
          <w:rFonts w:cstheme="minorHAnsi"/>
          <w:i/>
          <w:iCs/>
          <w:color w:val="000000"/>
          <w:sz w:val="20"/>
          <w:szCs w:val="20"/>
        </w:rPr>
        <w:t xml:space="preserve">με </w:t>
      </w:r>
      <w:r w:rsidRPr="00F20CCC">
        <w:rPr>
          <w:rFonts w:cstheme="minorHAnsi"/>
          <w:i/>
          <w:iCs/>
          <w:color w:val="000000"/>
          <w:sz w:val="20"/>
          <w:szCs w:val="20"/>
        </w:rPr>
        <w:t xml:space="preserve">τις </w:t>
      </w:r>
      <w:r w:rsidR="004F0DA2">
        <w:rPr>
          <w:rFonts w:cstheme="minorHAnsi"/>
          <w:i/>
          <w:iCs/>
          <w:color w:val="000000"/>
          <w:sz w:val="20"/>
          <w:szCs w:val="20"/>
        </w:rPr>
        <w:t xml:space="preserve">επιχειρηματικές </w:t>
      </w:r>
      <w:r w:rsidRPr="00F20CCC">
        <w:rPr>
          <w:rFonts w:cstheme="minorHAnsi"/>
          <w:i/>
          <w:iCs/>
          <w:color w:val="000000"/>
          <w:sz w:val="20"/>
          <w:szCs w:val="20"/>
        </w:rPr>
        <w:t xml:space="preserve"> ευκαιρίες που εντοπίζονται στο ψηφιακό οικοσύστημα.</w:t>
      </w:r>
    </w:p>
    <w:p w14:paraId="246AAF46" w14:textId="502A1650" w:rsidR="00F20CCC" w:rsidRPr="00DA0EBB" w:rsidRDefault="00161A8A" w:rsidP="00161A8A">
      <w:pPr>
        <w:spacing w:before="80" w:after="40"/>
        <w:ind w:left="-284" w:right="249"/>
        <w:jc w:val="both"/>
        <w:rPr>
          <w:rFonts w:cstheme="minorHAnsi"/>
          <w:i/>
          <w:iCs/>
          <w:color w:val="000000"/>
          <w:sz w:val="20"/>
          <w:szCs w:val="20"/>
        </w:rPr>
      </w:pPr>
      <w:r>
        <w:rPr>
          <w:rFonts w:cstheme="minorHAnsi"/>
          <w:i/>
          <w:iCs/>
          <w:color w:val="000000"/>
          <w:sz w:val="20"/>
          <w:szCs w:val="20"/>
        </w:rPr>
        <w:t xml:space="preserve">Παραμένουμε δεσμευμένοι στις επιδιώξεις μας για </w:t>
      </w:r>
      <w:r w:rsidRPr="00161A8A">
        <w:rPr>
          <w:rFonts w:cstheme="minorHAnsi"/>
          <w:i/>
          <w:iCs/>
          <w:color w:val="000000"/>
          <w:sz w:val="20"/>
          <w:szCs w:val="20"/>
        </w:rPr>
        <w:t>μονοψήφιο δείκτη NPE</w:t>
      </w:r>
      <w:r w:rsidR="00DA0EBB" w:rsidRPr="00DA0EBB">
        <w:rPr>
          <w:rFonts w:cstheme="minorHAnsi"/>
          <w:i/>
          <w:iCs/>
          <w:color w:val="000000"/>
          <w:sz w:val="20"/>
          <w:szCs w:val="20"/>
        </w:rPr>
        <w:t xml:space="preserve">, </w:t>
      </w:r>
      <w:r>
        <w:rPr>
          <w:rFonts w:cstheme="minorHAnsi"/>
          <w:i/>
          <w:iCs/>
          <w:color w:val="000000"/>
          <w:sz w:val="20"/>
          <w:szCs w:val="20"/>
        </w:rPr>
        <w:t xml:space="preserve">υψηλό μονοψήφιο δείκτη </w:t>
      </w:r>
      <w:r w:rsidRPr="00161A8A">
        <w:rPr>
          <w:rFonts w:cstheme="minorHAnsi"/>
          <w:i/>
          <w:iCs/>
          <w:color w:val="000000"/>
          <w:sz w:val="20"/>
          <w:szCs w:val="20"/>
        </w:rPr>
        <w:t>απόδοση</w:t>
      </w:r>
      <w:r>
        <w:rPr>
          <w:rFonts w:cstheme="minorHAnsi"/>
          <w:i/>
          <w:iCs/>
          <w:color w:val="000000"/>
          <w:sz w:val="20"/>
          <w:szCs w:val="20"/>
        </w:rPr>
        <w:t xml:space="preserve">ς </w:t>
      </w:r>
      <w:r w:rsidRPr="00161A8A">
        <w:rPr>
          <w:rFonts w:cstheme="minorHAnsi"/>
          <w:i/>
          <w:iCs/>
          <w:color w:val="000000"/>
          <w:sz w:val="20"/>
          <w:szCs w:val="20"/>
        </w:rPr>
        <w:t>επί των ενσώματων ιδίων κεφαλαίων</w:t>
      </w:r>
      <w:r>
        <w:rPr>
          <w:rFonts w:cstheme="minorHAnsi"/>
          <w:i/>
          <w:iCs/>
          <w:color w:val="000000"/>
          <w:sz w:val="20"/>
          <w:szCs w:val="20"/>
        </w:rPr>
        <w:t xml:space="preserve"> και ισχυρή </w:t>
      </w:r>
      <w:r w:rsidR="005A7FDA">
        <w:rPr>
          <w:rFonts w:cstheme="minorHAnsi"/>
          <w:i/>
          <w:iCs/>
          <w:color w:val="000000"/>
          <w:sz w:val="20"/>
          <w:szCs w:val="20"/>
        </w:rPr>
        <w:t>κεφαλαιακή επάρκεια</w:t>
      </w:r>
      <w:r>
        <w:rPr>
          <w:rFonts w:cstheme="minorHAnsi"/>
          <w:i/>
          <w:iCs/>
          <w:color w:val="000000"/>
          <w:sz w:val="20"/>
          <w:szCs w:val="20"/>
        </w:rPr>
        <w:t xml:space="preserve">, όπως </w:t>
      </w:r>
      <w:r w:rsidR="005A7FDA">
        <w:rPr>
          <w:rFonts w:cstheme="minorHAnsi"/>
          <w:i/>
          <w:iCs/>
          <w:color w:val="000000"/>
          <w:sz w:val="20"/>
          <w:szCs w:val="20"/>
        </w:rPr>
        <w:t xml:space="preserve">έχουν </w:t>
      </w:r>
      <w:r>
        <w:rPr>
          <w:rFonts w:cstheme="minorHAnsi"/>
          <w:i/>
          <w:iCs/>
          <w:color w:val="000000"/>
          <w:sz w:val="20"/>
          <w:szCs w:val="20"/>
        </w:rPr>
        <w:t>επικοινωνηθεί στους μετόχους μας.</w:t>
      </w:r>
      <w:r w:rsidRPr="00161A8A">
        <w:t xml:space="preserve"> </w:t>
      </w:r>
      <w:r w:rsidRPr="00161A8A">
        <w:rPr>
          <w:rFonts w:cstheme="minorHAnsi"/>
          <w:i/>
          <w:iCs/>
          <w:color w:val="000000"/>
          <w:sz w:val="20"/>
          <w:szCs w:val="20"/>
        </w:rPr>
        <w:t xml:space="preserve">Παράλληλα, </w:t>
      </w:r>
      <w:r>
        <w:rPr>
          <w:rFonts w:cstheme="minorHAnsi"/>
          <w:i/>
          <w:iCs/>
          <w:color w:val="000000"/>
          <w:sz w:val="20"/>
          <w:szCs w:val="20"/>
        </w:rPr>
        <w:t xml:space="preserve">ενισχύουμε το </w:t>
      </w:r>
      <w:r w:rsidR="005A7FDA">
        <w:rPr>
          <w:rFonts w:cstheme="minorHAnsi"/>
          <w:i/>
          <w:iCs/>
          <w:color w:val="000000"/>
          <w:sz w:val="20"/>
          <w:szCs w:val="20"/>
        </w:rPr>
        <w:t xml:space="preserve">σχέδιο δράσης μας </w:t>
      </w:r>
      <w:r w:rsidRPr="00161A8A">
        <w:rPr>
          <w:rFonts w:cstheme="minorHAnsi"/>
          <w:i/>
          <w:iCs/>
          <w:color w:val="000000"/>
          <w:sz w:val="20"/>
          <w:szCs w:val="20"/>
        </w:rPr>
        <w:t xml:space="preserve">για τα θέματα ESG </w:t>
      </w:r>
      <w:r w:rsidR="005A7FDA">
        <w:rPr>
          <w:rFonts w:cstheme="minorHAnsi"/>
          <w:i/>
          <w:iCs/>
          <w:color w:val="000000"/>
          <w:sz w:val="20"/>
          <w:szCs w:val="20"/>
        </w:rPr>
        <w:t xml:space="preserve">(Περιβάλλον, Κοινωνία, Διακυβέρνηση), </w:t>
      </w:r>
      <w:r w:rsidRPr="00161A8A">
        <w:rPr>
          <w:rFonts w:cstheme="minorHAnsi"/>
          <w:i/>
          <w:iCs/>
          <w:color w:val="000000"/>
          <w:sz w:val="20"/>
          <w:szCs w:val="20"/>
        </w:rPr>
        <w:t xml:space="preserve">με ένα </w:t>
      </w:r>
      <w:r w:rsidR="005A7FDA">
        <w:rPr>
          <w:rFonts w:cstheme="minorHAnsi"/>
          <w:i/>
          <w:iCs/>
          <w:color w:val="000000"/>
          <w:sz w:val="20"/>
          <w:szCs w:val="20"/>
        </w:rPr>
        <w:t xml:space="preserve">νέο ετήσιο πλάνο ενεργειών, </w:t>
      </w:r>
      <w:r w:rsidRPr="00161A8A">
        <w:rPr>
          <w:rFonts w:cstheme="minorHAnsi"/>
          <w:i/>
          <w:iCs/>
          <w:color w:val="000000"/>
          <w:sz w:val="20"/>
          <w:szCs w:val="20"/>
        </w:rPr>
        <w:t>προς όφελος της ελληνικής οικονομίας και της κοινωνίας</w:t>
      </w:r>
      <w:r>
        <w:rPr>
          <w:rFonts w:cstheme="minorHAnsi"/>
          <w:i/>
          <w:iCs/>
          <w:color w:val="000000"/>
          <w:sz w:val="20"/>
          <w:szCs w:val="20"/>
        </w:rPr>
        <w:t xml:space="preserve"> γενικότερα</w:t>
      </w:r>
      <w:r w:rsidRPr="00161A8A">
        <w:rPr>
          <w:rFonts w:cstheme="minorHAnsi"/>
          <w:i/>
          <w:iCs/>
          <w:color w:val="000000"/>
          <w:sz w:val="20"/>
          <w:szCs w:val="20"/>
        </w:rPr>
        <w:t>.</w:t>
      </w:r>
      <w:r w:rsidR="000B4093">
        <w:rPr>
          <w:rFonts w:cstheme="minorHAnsi"/>
          <w:i/>
          <w:iCs/>
          <w:color w:val="000000"/>
          <w:sz w:val="20"/>
          <w:szCs w:val="20"/>
        </w:rPr>
        <w:t>»</w:t>
      </w:r>
    </w:p>
    <w:p w14:paraId="0D671ED5" w14:textId="237FF452" w:rsidR="008278D5" w:rsidRPr="001C422C" w:rsidRDefault="00B10FEA" w:rsidP="00DA0EBB">
      <w:pPr>
        <w:spacing w:after="0" w:line="240" w:lineRule="auto"/>
        <w:ind w:left="-284" w:right="249"/>
        <w:jc w:val="right"/>
        <w:rPr>
          <w:rFonts w:eastAsia="Times New Roman" w:cs="Calibri"/>
          <w:b/>
          <w:color w:val="6691AB"/>
          <w:sz w:val="28"/>
          <w:szCs w:val="28"/>
        </w:rPr>
      </w:pPr>
      <w:r w:rsidRPr="00B10FEA">
        <w:rPr>
          <w:i/>
          <w:iCs/>
          <w:color w:val="000000" w:themeColor="text1"/>
          <w:sz w:val="20"/>
          <w:szCs w:val="18"/>
        </w:rPr>
        <w:t>Χρήστος Μεγάλου, Διευθύνων Σύμβουλος</w:t>
      </w:r>
    </w:p>
    <w:p w14:paraId="4D365A1D" w14:textId="052AF548" w:rsidR="001C422C" w:rsidRPr="001C422C" w:rsidRDefault="001C422C" w:rsidP="001C422C">
      <w:pPr>
        <w:ind w:left="-1260" w:right="-25"/>
        <w:jc w:val="right"/>
        <w:rPr>
          <w:rFonts w:eastAsia="Times New Roman" w:cs="Calibri"/>
          <w:b/>
          <w:i/>
          <w:color w:val="6691AB"/>
          <w:sz w:val="27"/>
          <w:szCs w:val="27"/>
        </w:rPr>
      </w:pPr>
      <w:r w:rsidRPr="001C422C">
        <w:rPr>
          <w:rFonts w:eastAsia="Times New Roman" w:cs="Calibri"/>
          <w:b/>
          <w:i/>
          <w:color w:val="6691AB"/>
          <w:sz w:val="27"/>
          <w:szCs w:val="27"/>
        </w:rPr>
        <w:lastRenderedPageBreak/>
        <w:t xml:space="preserve">Κύρια Σημεία Αποτελεσμάτων: </w:t>
      </w:r>
      <w:r w:rsidR="008C1415" w:rsidRPr="00844F1F">
        <w:rPr>
          <w:rFonts w:eastAsia="Times New Roman" w:cs="Calibri"/>
          <w:b/>
          <w:i/>
          <w:color w:val="6691AB"/>
          <w:sz w:val="27"/>
          <w:szCs w:val="27"/>
        </w:rPr>
        <w:t>Θετικ</w:t>
      </w:r>
      <w:r w:rsidR="008C1415">
        <w:rPr>
          <w:rFonts w:eastAsia="Times New Roman" w:cs="Calibri"/>
          <w:b/>
          <w:i/>
          <w:color w:val="6691AB"/>
          <w:sz w:val="27"/>
          <w:szCs w:val="27"/>
        </w:rPr>
        <w:t>ές</w:t>
      </w:r>
      <w:r w:rsidR="008C1415" w:rsidRPr="00844F1F">
        <w:rPr>
          <w:rFonts w:eastAsia="Times New Roman" w:cs="Calibri"/>
          <w:b/>
          <w:i/>
          <w:color w:val="6691AB"/>
          <w:sz w:val="27"/>
          <w:szCs w:val="27"/>
        </w:rPr>
        <w:t xml:space="preserve"> </w:t>
      </w:r>
      <w:r w:rsidR="008C1415">
        <w:rPr>
          <w:rFonts w:eastAsia="Times New Roman" w:cs="Calibri"/>
          <w:b/>
          <w:i/>
          <w:color w:val="6691AB"/>
          <w:sz w:val="27"/>
          <w:szCs w:val="27"/>
        </w:rPr>
        <w:t>Τάσεις</w:t>
      </w:r>
      <w:r w:rsidR="008C1415" w:rsidRPr="00844F1F">
        <w:rPr>
          <w:rFonts w:eastAsia="Times New Roman" w:cs="Calibri"/>
          <w:b/>
          <w:i/>
          <w:color w:val="6691AB"/>
          <w:sz w:val="27"/>
          <w:szCs w:val="27"/>
        </w:rPr>
        <w:t xml:space="preserve"> σε </w:t>
      </w:r>
      <w:r w:rsidR="008C1415">
        <w:rPr>
          <w:rFonts w:eastAsia="Times New Roman" w:cs="Calibri"/>
          <w:b/>
          <w:i/>
          <w:color w:val="6691AB"/>
          <w:sz w:val="27"/>
          <w:szCs w:val="27"/>
        </w:rPr>
        <w:t>όλες τις Βασικές Γραμμές</w:t>
      </w:r>
    </w:p>
    <w:tbl>
      <w:tblPr>
        <w:tblStyle w:val="TableGrid"/>
        <w:tblW w:w="9270"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9"/>
        <w:gridCol w:w="7181"/>
      </w:tblGrid>
      <w:tr w:rsidR="007C6465" w:rsidRPr="007664C0" w14:paraId="30BFAD7B" w14:textId="77777777" w:rsidTr="00D07C81">
        <w:trPr>
          <w:trHeight w:val="1752"/>
        </w:trPr>
        <w:tc>
          <w:tcPr>
            <w:tcW w:w="1710" w:type="dxa"/>
          </w:tcPr>
          <w:p w14:paraId="2227806A" w14:textId="6E4DDE27" w:rsidR="007C6465" w:rsidRPr="008F5A2F" w:rsidRDefault="008C1415" w:rsidP="00445CC9">
            <w:pPr>
              <w:tabs>
                <w:tab w:val="left" w:pos="8262"/>
              </w:tabs>
              <w:spacing w:after="60"/>
              <w:ind w:right="74"/>
              <w:contextualSpacing/>
              <w:rPr>
                <w:rFonts w:cs="Calibri"/>
                <w:b/>
                <w:i/>
                <w:color w:val="FF0000"/>
              </w:rPr>
            </w:pPr>
            <w:r w:rsidRPr="008F5A2F">
              <w:rPr>
                <w:rFonts w:eastAsiaTheme="minorEastAsia" w:cs="Calibri"/>
                <w:i/>
                <w:color w:val="6691AB"/>
              </w:rPr>
              <w:t>Ανθεκτικά καθαρά έσοδα από τόκους</w:t>
            </w:r>
            <w:r>
              <w:rPr>
                <w:rFonts w:eastAsiaTheme="minorEastAsia" w:cs="Calibri"/>
                <w:i/>
                <w:color w:val="6691AB"/>
              </w:rPr>
              <w:t xml:space="preserve"> υποστηριζόμενα από περαιτέρω </w:t>
            </w:r>
            <w:r w:rsidR="00445CC9">
              <w:rPr>
                <w:rFonts w:eastAsiaTheme="minorEastAsia" w:cs="Calibri"/>
                <w:i/>
                <w:color w:val="6691AB"/>
              </w:rPr>
              <w:t>αύξηση</w:t>
            </w:r>
            <w:r>
              <w:rPr>
                <w:rFonts w:eastAsiaTheme="minorEastAsia" w:cs="Calibri"/>
                <w:i/>
                <w:color w:val="6691AB"/>
              </w:rPr>
              <w:t xml:space="preserve"> </w:t>
            </w:r>
            <w:r w:rsidR="005D31F3">
              <w:rPr>
                <w:rFonts w:eastAsiaTheme="minorEastAsia" w:cs="Calibri"/>
                <w:i/>
                <w:color w:val="6691AB"/>
              </w:rPr>
              <w:t>του ενεργητικού</w:t>
            </w:r>
          </w:p>
        </w:tc>
        <w:tc>
          <w:tcPr>
            <w:tcW w:w="7560" w:type="dxa"/>
          </w:tcPr>
          <w:p w14:paraId="452DE2D8" w14:textId="2B86D9F5" w:rsidR="008C1415" w:rsidRPr="001C50E8" w:rsidRDefault="008C1415" w:rsidP="008C1415">
            <w:pPr>
              <w:spacing w:after="80" w:line="240" w:lineRule="exact"/>
              <w:jc w:val="both"/>
              <w:rPr>
                <w:sz w:val="20"/>
                <w:szCs w:val="20"/>
              </w:rPr>
            </w:pPr>
            <w:r w:rsidRPr="00DE40FF">
              <w:rPr>
                <w:sz w:val="20"/>
                <w:szCs w:val="20"/>
              </w:rPr>
              <w:t xml:space="preserve">Τα καθαρά έσοδα από τόκους ανήλθαν σε €772 εκατ. το 1ο 6μηνο 2021, </w:t>
            </w:r>
            <w:r w:rsidR="00445CC9">
              <w:rPr>
                <w:sz w:val="20"/>
                <w:szCs w:val="20"/>
              </w:rPr>
              <w:t xml:space="preserve">ενισχυμένα </w:t>
            </w:r>
            <w:r w:rsidRPr="00DE40FF">
              <w:rPr>
                <w:sz w:val="20"/>
                <w:szCs w:val="20"/>
              </w:rPr>
              <w:t xml:space="preserve"> κατά 6% </w:t>
            </w:r>
            <w:r w:rsidR="00445CC9">
              <w:rPr>
                <w:sz w:val="20"/>
                <w:szCs w:val="20"/>
              </w:rPr>
              <w:t>ετησίως</w:t>
            </w:r>
            <w:r w:rsidR="00635E43">
              <w:rPr>
                <w:sz w:val="20"/>
                <w:szCs w:val="20"/>
              </w:rPr>
              <w:t>,</w:t>
            </w:r>
            <w:r w:rsidRPr="00DE40FF">
              <w:rPr>
                <w:sz w:val="20"/>
                <w:szCs w:val="20"/>
              </w:rPr>
              <w:t xml:space="preserve"> λόγω του </w:t>
            </w:r>
            <w:r w:rsidR="00445CC9">
              <w:rPr>
                <w:sz w:val="20"/>
                <w:szCs w:val="20"/>
              </w:rPr>
              <w:t>αυξημένου</w:t>
            </w:r>
            <w:r w:rsidRPr="00DE40FF">
              <w:rPr>
                <w:sz w:val="20"/>
                <w:szCs w:val="20"/>
              </w:rPr>
              <w:t xml:space="preserve"> χαρτοφυλακίου </w:t>
            </w:r>
            <w:r w:rsidR="005D31F3">
              <w:rPr>
                <w:sz w:val="20"/>
                <w:szCs w:val="20"/>
              </w:rPr>
              <w:t xml:space="preserve">ομολόγων </w:t>
            </w:r>
            <w:r w:rsidRPr="00DE40FF">
              <w:rPr>
                <w:sz w:val="20"/>
                <w:szCs w:val="20"/>
              </w:rPr>
              <w:t xml:space="preserve">και της αξιοποίησης του μηχανισμού </w:t>
            </w:r>
            <w:r w:rsidRPr="00DE40FF">
              <w:rPr>
                <w:sz w:val="20"/>
                <w:szCs w:val="20"/>
                <w:lang w:val="en-US"/>
              </w:rPr>
              <w:t>TLTRO</w:t>
            </w:r>
            <w:r w:rsidRPr="00DE40FF">
              <w:rPr>
                <w:sz w:val="20"/>
                <w:szCs w:val="20"/>
              </w:rPr>
              <w:t xml:space="preserve"> </w:t>
            </w:r>
            <w:r w:rsidRPr="00DE40FF">
              <w:rPr>
                <w:sz w:val="20"/>
                <w:szCs w:val="20"/>
                <w:lang w:val="en-US"/>
              </w:rPr>
              <w:t>III</w:t>
            </w:r>
            <w:r w:rsidRPr="00DE40FF">
              <w:rPr>
                <w:sz w:val="20"/>
                <w:szCs w:val="20"/>
              </w:rPr>
              <w:t xml:space="preserve">. </w:t>
            </w:r>
            <w:r w:rsidRPr="001C50E8">
              <w:rPr>
                <w:sz w:val="20"/>
                <w:szCs w:val="20"/>
              </w:rPr>
              <w:t>Τα καθαρά έσοδα από τόκους το 2ο 3μηνο 2021 ανήλθαν σε €407 εκατ., +11% ετησίως. Το χαμηλό κόστος χρηματοδότησης κατέστησε τη γραμμή εσόδων πιο ανθεκτική</w:t>
            </w:r>
            <w:r w:rsidR="00635E43">
              <w:rPr>
                <w:sz w:val="20"/>
                <w:szCs w:val="20"/>
              </w:rPr>
              <w:t>,</w:t>
            </w:r>
            <w:r w:rsidRPr="001C50E8">
              <w:rPr>
                <w:sz w:val="20"/>
                <w:szCs w:val="20"/>
              </w:rPr>
              <w:t xml:space="preserve"> αντισταθμίζοντας</w:t>
            </w:r>
            <w:r w:rsidR="00445CC9">
              <w:rPr>
                <w:sz w:val="20"/>
                <w:szCs w:val="20"/>
              </w:rPr>
              <w:t xml:space="preserve"> την </w:t>
            </w:r>
            <w:r w:rsidR="00635E43">
              <w:rPr>
                <w:sz w:val="20"/>
                <w:szCs w:val="20"/>
              </w:rPr>
              <w:t xml:space="preserve">ήπια </w:t>
            </w:r>
            <w:r w:rsidRPr="001C50E8">
              <w:rPr>
                <w:sz w:val="20"/>
                <w:szCs w:val="20"/>
              </w:rPr>
              <w:t>πίεση</w:t>
            </w:r>
            <w:r w:rsidR="00445CC9">
              <w:rPr>
                <w:sz w:val="20"/>
                <w:szCs w:val="20"/>
              </w:rPr>
              <w:t xml:space="preserve"> στα επιτόκια</w:t>
            </w:r>
            <w:r w:rsidRPr="001C50E8">
              <w:rPr>
                <w:sz w:val="20"/>
                <w:szCs w:val="20"/>
              </w:rPr>
              <w:t>. Το μειωμένο κόστος καταθέσεων συνέβαλε θετικά</w:t>
            </w:r>
            <w:r w:rsidR="00445CC9">
              <w:rPr>
                <w:sz w:val="20"/>
                <w:szCs w:val="20"/>
              </w:rPr>
              <w:t>,</w:t>
            </w:r>
            <w:r w:rsidRPr="001C50E8">
              <w:rPr>
                <w:sz w:val="20"/>
                <w:szCs w:val="20"/>
              </w:rPr>
              <w:t xml:space="preserve"> ενώ παράλληλα η αύξηση των εξυπηρετούμενων δανείων που αναμένεται από τη</w:t>
            </w:r>
            <w:r w:rsidR="00445CC9">
              <w:rPr>
                <w:sz w:val="20"/>
                <w:szCs w:val="20"/>
              </w:rPr>
              <w:t>ν αξιοποίηση</w:t>
            </w:r>
            <w:r w:rsidRPr="001C50E8">
              <w:rPr>
                <w:sz w:val="20"/>
                <w:szCs w:val="20"/>
              </w:rPr>
              <w:t xml:space="preserve"> των </w:t>
            </w:r>
            <w:r w:rsidR="00445CC9">
              <w:rPr>
                <w:sz w:val="20"/>
                <w:szCs w:val="20"/>
              </w:rPr>
              <w:t>πόρων</w:t>
            </w:r>
            <w:r w:rsidRPr="001C50E8">
              <w:rPr>
                <w:sz w:val="20"/>
                <w:szCs w:val="20"/>
              </w:rPr>
              <w:t xml:space="preserve"> του </w:t>
            </w:r>
            <w:r w:rsidR="00445CC9">
              <w:rPr>
                <w:sz w:val="20"/>
                <w:szCs w:val="20"/>
              </w:rPr>
              <w:t xml:space="preserve">Ταμείου Ανθεκτικότητας και </w:t>
            </w:r>
            <w:r w:rsidR="00635E43">
              <w:rPr>
                <w:sz w:val="20"/>
                <w:szCs w:val="20"/>
              </w:rPr>
              <w:t xml:space="preserve">Αναδιάρθρωσης </w:t>
            </w:r>
            <w:r w:rsidRPr="001C50E8">
              <w:rPr>
                <w:sz w:val="20"/>
                <w:szCs w:val="20"/>
              </w:rPr>
              <w:t xml:space="preserve">που </w:t>
            </w:r>
            <w:r w:rsidR="00445CC9">
              <w:rPr>
                <w:sz w:val="20"/>
                <w:szCs w:val="20"/>
              </w:rPr>
              <w:t xml:space="preserve">αναμένεται να </w:t>
            </w:r>
            <w:r w:rsidRPr="001C50E8">
              <w:rPr>
                <w:sz w:val="20"/>
                <w:szCs w:val="20"/>
              </w:rPr>
              <w:t>ξεκινήσει το 2ο 6μηνο 2021</w:t>
            </w:r>
            <w:r w:rsidR="00635E43">
              <w:rPr>
                <w:sz w:val="20"/>
                <w:szCs w:val="20"/>
              </w:rPr>
              <w:t>,</w:t>
            </w:r>
            <w:r w:rsidRPr="001C50E8">
              <w:rPr>
                <w:sz w:val="20"/>
                <w:szCs w:val="20"/>
              </w:rPr>
              <w:t xml:space="preserve"> θα </w:t>
            </w:r>
            <w:r w:rsidR="00445CC9">
              <w:rPr>
                <w:sz w:val="20"/>
                <w:szCs w:val="20"/>
              </w:rPr>
              <w:t>παράγει</w:t>
            </w:r>
            <w:r w:rsidRPr="001C50E8">
              <w:rPr>
                <w:sz w:val="20"/>
                <w:szCs w:val="20"/>
              </w:rPr>
              <w:t xml:space="preserve"> πρόσθετα έσοδα από τόκους δανείων. Το καθαρό επιτοκιακό περιθώριο </w:t>
            </w:r>
            <w:r w:rsidR="00480F22">
              <w:rPr>
                <w:sz w:val="20"/>
                <w:szCs w:val="20"/>
              </w:rPr>
              <w:t xml:space="preserve">στα έντοκα στοιχεία ενεργητικού </w:t>
            </w:r>
            <w:r w:rsidRPr="001C50E8">
              <w:rPr>
                <w:sz w:val="20"/>
                <w:szCs w:val="20"/>
              </w:rPr>
              <w:t>το 2</w:t>
            </w:r>
            <w:r w:rsidR="00635E43">
              <w:rPr>
                <w:sz w:val="20"/>
                <w:szCs w:val="20"/>
              </w:rPr>
              <w:t>ο 3μηνο 2021 διαμορφώθηκε στο 2,</w:t>
            </w:r>
            <w:r w:rsidRPr="001C50E8">
              <w:rPr>
                <w:sz w:val="20"/>
                <w:szCs w:val="20"/>
              </w:rPr>
              <w:t>6% σε σύγκριση με το 2</w:t>
            </w:r>
            <w:r w:rsidR="00635E43">
              <w:rPr>
                <w:sz w:val="20"/>
                <w:szCs w:val="20"/>
              </w:rPr>
              <w:t>,5% το 1ο 3μηνο 2021.</w:t>
            </w:r>
          </w:p>
          <w:p w14:paraId="60762D96" w14:textId="26EA8128" w:rsidR="00622982" w:rsidRPr="008F5A2F" w:rsidRDefault="00622982" w:rsidP="008F5A2F">
            <w:pPr>
              <w:spacing w:after="80" w:line="240" w:lineRule="exact"/>
              <w:ind w:left="38"/>
              <w:jc w:val="both"/>
              <w:rPr>
                <w:rFonts w:ascii="Calibri" w:hAnsi="Calibri"/>
                <w:sz w:val="20"/>
                <w:szCs w:val="20"/>
                <w:bdr w:val="none" w:sz="0" w:space="0" w:color="auto" w:frame="1"/>
              </w:rPr>
            </w:pPr>
          </w:p>
        </w:tc>
      </w:tr>
      <w:tr w:rsidR="007C6465" w:rsidRPr="008F5A2F" w14:paraId="68FDA6AA" w14:textId="77777777" w:rsidTr="00522E0F">
        <w:trPr>
          <w:trHeight w:val="1481"/>
        </w:trPr>
        <w:tc>
          <w:tcPr>
            <w:tcW w:w="1710" w:type="dxa"/>
          </w:tcPr>
          <w:p w14:paraId="446F274B" w14:textId="09B603CD" w:rsidR="007C6465" w:rsidRPr="00407073" w:rsidRDefault="00635E43" w:rsidP="007664C0">
            <w:pPr>
              <w:tabs>
                <w:tab w:val="left" w:pos="8262"/>
              </w:tabs>
              <w:spacing w:after="60"/>
              <w:ind w:right="74"/>
              <w:contextualSpacing/>
              <w:rPr>
                <w:rFonts w:cs="Calibri"/>
                <w:b/>
                <w:color w:val="FF0000"/>
                <w:lang w:val="en-US"/>
              </w:rPr>
            </w:pPr>
            <w:r>
              <w:rPr>
                <w:rFonts w:eastAsiaTheme="minorEastAsia" w:cs="Calibri"/>
                <w:i/>
                <w:color w:val="6691AB"/>
              </w:rPr>
              <w:t>Σταθερά ανοδική πορεία</w:t>
            </w:r>
            <w:r w:rsidR="008F5A2F" w:rsidRPr="008F5A2F">
              <w:rPr>
                <w:rFonts w:eastAsiaTheme="minorEastAsia" w:cs="Calibri"/>
                <w:i/>
                <w:color w:val="6691AB"/>
                <w:lang w:val="en-US"/>
              </w:rPr>
              <w:t xml:space="preserve"> προμηθειών</w:t>
            </w:r>
          </w:p>
        </w:tc>
        <w:tc>
          <w:tcPr>
            <w:tcW w:w="7560" w:type="dxa"/>
          </w:tcPr>
          <w:p w14:paraId="7D771EB3" w14:textId="299C55B4" w:rsidR="008C1415" w:rsidRPr="001C50E8" w:rsidRDefault="008C1415" w:rsidP="008C1415">
            <w:pPr>
              <w:spacing w:after="80" w:line="240" w:lineRule="exact"/>
              <w:jc w:val="both"/>
              <w:rPr>
                <w:sz w:val="20"/>
                <w:szCs w:val="20"/>
              </w:rPr>
            </w:pPr>
            <w:r w:rsidRPr="00DE40FF">
              <w:rPr>
                <w:sz w:val="20"/>
                <w:szCs w:val="20"/>
              </w:rPr>
              <w:t>Τα καθαρά έσοδα από προμήθειες το 2ο 3μηνο 2021 ανήλθα</w:t>
            </w:r>
            <w:r w:rsidR="00445CC9">
              <w:rPr>
                <w:sz w:val="20"/>
                <w:szCs w:val="20"/>
              </w:rPr>
              <w:t>ν σε €101 εκατ., +</w:t>
            </w:r>
            <w:r w:rsidR="00635E43">
              <w:rPr>
                <w:sz w:val="20"/>
                <w:szCs w:val="20"/>
              </w:rPr>
              <w:t>27</w:t>
            </w:r>
            <w:r w:rsidR="00445CC9">
              <w:rPr>
                <w:sz w:val="20"/>
                <w:szCs w:val="20"/>
              </w:rPr>
              <w:t xml:space="preserve">% ετησίως, </w:t>
            </w:r>
            <w:r w:rsidRPr="00DE40FF">
              <w:rPr>
                <w:sz w:val="20"/>
                <w:szCs w:val="20"/>
              </w:rPr>
              <w:t xml:space="preserve">επίδοση που σηματοδοτεί το καλύτερο </w:t>
            </w:r>
            <w:r w:rsidR="00635E43">
              <w:rPr>
                <w:sz w:val="20"/>
                <w:szCs w:val="20"/>
              </w:rPr>
              <w:t xml:space="preserve">ιστορικά </w:t>
            </w:r>
            <w:r w:rsidRPr="00DE40FF">
              <w:rPr>
                <w:sz w:val="20"/>
                <w:szCs w:val="20"/>
              </w:rPr>
              <w:t xml:space="preserve">τρίμηνο για την Πειραιώς σε επαναλαμβανόμενη βάση. </w:t>
            </w:r>
            <w:r w:rsidRPr="001C50E8">
              <w:rPr>
                <w:sz w:val="20"/>
                <w:szCs w:val="20"/>
              </w:rPr>
              <w:t xml:space="preserve">Βασικοί συντελεστές της προαναφερόμενης αύξησης ήταν </w:t>
            </w:r>
            <w:r w:rsidR="00445CC9">
              <w:rPr>
                <w:sz w:val="20"/>
                <w:szCs w:val="20"/>
              </w:rPr>
              <w:t>τα αμοιβαία κεφάλαια</w:t>
            </w:r>
            <w:r w:rsidRPr="001C50E8">
              <w:rPr>
                <w:sz w:val="20"/>
                <w:szCs w:val="20"/>
              </w:rPr>
              <w:t xml:space="preserve">, </w:t>
            </w:r>
            <w:r w:rsidR="00445CC9">
              <w:rPr>
                <w:sz w:val="20"/>
                <w:szCs w:val="20"/>
              </w:rPr>
              <w:t xml:space="preserve">η </w:t>
            </w:r>
            <w:r w:rsidRPr="001C50E8">
              <w:rPr>
                <w:sz w:val="20"/>
                <w:szCs w:val="20"/>
              </w:rPr>
              <w:t xml:space="preserve">κίνηση κεφαλαίων, οι πιστωτικές κάρτες και τα έσοδα </w:t>
            </w:r>
            <w:r w:rsidR="00635E43">
              <w:rPr>
                <w:sz w:val="20"/>
                <w:szCs w:val="20"/>
              </w:rPr>
              <w:t>από</w:t>
            </w:r>
            <w:r w:rsidRPr="001C50E8">
              <w:rPr>
                <w:sz w:val="20"/>
                <w:szCs w:val="20"/>
              </w:rPr>
              <w:t xml:space="preserve"> ασφαλιστιστικά προ</w:t>
            </w:r>
            <w:r w:rsidR="00635E43">
              <w:rPr>
                <w:sz w:val="20"/>
                <w:szCs w:val="20"/>
              </w:rPr>
              <w:t>ϊ</w:t>
            </w:r>
            <w:r w:rsidRPr="001C50E8">
              <w:rPr>
                <w:sz w:val="20"/>
                <w:szCs w:val="20"/>
              </w:rPr>
              <w:t>όντα</w:t>
            </w:r>
            <w:r w:rsidR="00635E43">
              <w:rPr>
                <w:sz w:val="20"/>
                <w:szCs w:val="20"/>
              </w:rPr>
              <w:t>,</w:t>
            </w:r>
            <w:r w:rsidRPr="001C50E8">
              <w:rPr>
                <w:sz w:val="20"/>
                <w:szCs w:val="20"/>
              </w:rPr>
              <w:t xml:space="preserve"> </w:t>
            </w:r>
            <w:r w:rsidR="00445CC9">
              <w:rPr>
                <w:sz w:val="20"/>
                <w:szCs w:val="20"/>
              </w:rPr>
              <w:t>αλλά και</w:t>
            </w:r>
            <w:r w:rsidRPr="001C50E8">
              <w:rPr>
                <w:sz w:val="20"/>
                <w:szCs w:val="20"/>
              </w:rPr>
              <w:t xml:space="preserve"> οι νέες εκταμιεύσεις δανείων. Τα έσοδα προμηθειών ως ποσοστό </w:t>
            </w:r>
            <w:r w:rsidR="00445CC9">
              <w:rPr>
                <w:sz w:val="20"/>
                <w:szCs w:val="20"/>
              </w:rPr>
              <w:t xml:space="preserve">του </w:t>
            </w:r>
            <w:r w:rsidRPr="001C50E8">
              <w:rPr>
                <w:sz w:val="20"/>
                <w:szCs w:val="20"/>
              </w:rPr>
              <w:t xml:space="preserve">ενεργητικού </w:t>
            </w:r>
            <w:r w:rsidR="00445CC9">
              <w:rPr>
                <w:sz w:val="20"/>
                <w:szCs w:val="20"/>
              </w:rPr>
              <w:t>διαμορφώθηκε σε 0,</w:t>
            </w:r>
            <w:r w:rsidRPr="001C50E8">
              <w:rPr>
                <w:sz w:val="20"/>
                <w:szCs w:val="20"/>
              </w:rPr>
              <w:t xml:space="preserve">54% το 2ο τρίμηνο 2021, </w:t>
            </w:r>
            <w:r w:rsidR="00445CC9">
              <w:rPr>
                <w:sz w:val="20"/>
                <w:szCs w:val="20"/>
              </w:rPr>
              <w:t>+</w:t>
            </w:r>
            <w:r w:rsidRPr="001C50E8">
              <w:rPr>
                <w:sz w:val="20"/>
                <w:szCs w:val="20"/>
              </w:rPr>
              <w:t>12μ.β. σε τριμηνιαία βάση, με το σχέδιο μετασχηματισμού να συμβά</w:t>
            </w:r>
            <w:r w:rsidR="00635E43">
              <w:rPr>
                <w:sz w:val="20"/>
                <w:szCs w:val="20"/>
              </w:rPr>
              <w:t>λ</w:t>
            </w:r>
            <w:r w:rsidRPr="001C50E8">
              <w:rPr>
                <w:sz w:val="20"/>
                <w:szCs w:val="20"/>
              </w:rPr>
              <w:t>λει περαιτέρω στην παραγωγή εσόδων από προμήθειες. Τα καθαρά έσοδα από προμήθειες ανήλθαν στα €177 εκατ. το 1ο 6μηνο 2021, 17% υψηλότερα σε σχέση με την αντίστοιχη περίοδο του προηγούμενου έτους.</w:t>
            </w:r>
          </w:p>
          <w:p w14:paraId="77433964" w14:textId="54A0A8B9" w:rsidR="00622982" w:rsidRPr="008F5A2F" w:rsidRDefault="00622982" w:rsidP="00B85CEC">
            <w:pPr>
              <w:spacing w:after="80" w:line="240" w:lineRule="exact"/>
              <w:ind w:left="38"/>
              <w:jc w:val="both"/>
              <w:rPr>
                <w:sz w:val="20"/>
                <w:szCs w:val="20"/>
              </w:rPr>
            </w:pPr>
          </w:p>
        </w:tc>
      </w:tr>
      <w:tr w:rsidR="007C6465" w:rsidRPr="008F5A2F" w14:paraId="645E9AA1" w14:textId="77777777" w:rsidTr="00522E0F">
        <w:trPr>
          <w:trHeight w:val="2410"/>
        </w:trPr>
        <w:tc>
          <w:tcPr>
            <w:tcW w:w="1710" w:type="dxa"/>
          </w:tcPr>
          <w:p w14:paraId="241EA39B" w14:textId="635C932A" w:rsidR="008C1415" w:rsidRPr="008B3F7B" w:rsidRDefault="008C1415" w:rsidP="008C1415">
            <w:pPr>
              <w:tabs>
                <w:tab w:val="left" w:pos="8262"/>
              </w:tabs>
              <w:spacing w:after="60"/>
              <w:ind w:right="74"/>
              <w:contextualSpacing/>
              <w:rPr>
                <w:rFonts w:eastAsiaTheme="minorEastAsia" w:cs="Calibri"/>
                <w:i/>
                <w:color w:val="6691AB"/>
              </w:rPr>
            </w:pPr>
            <w:r w:rsidRPr="008F5A2F">
              <w:rPr>
                <w:rFonts w:eastAsiaTheme="minorEastAsia" w:cs="Calibri"/>
                <w:i/>
                <w:color w:val="6691AB"/>
              </w:rPr>
              <w:t xml:space="preserve">Περαιτέρω μείωση λειτουργικών εξόδων </w:t>
            </w:r>
            <w:r w:rsidR="00282036">
              <w:rPr>
                <w:rFonts w:eastAsiaTheme="minorEastAsia" w:cs="Calibri"/>
                <w:i/>
                <w:color w:val="6691AB"/>
              </w:rPr>
              <w:t>-</w:t>
            </w:r>
            <w:r>
              <w:rPr>
                <w:rFonts w:eastAsiaTheme="minorEastAsia" w:cs="Calibri"/>
                <w:i/>
                <w:color w:val="6691AB"/>
              </w:rPr>
              <w:t>2</w:t>
            </w:r>
            <w:r w:rsidRPr="008F5A2F">
              <w:rPr>
                <w:rFonts w:eastAsiaTheme="minorEastAsia" w:cs="Calibri"/>
                <w:i/>
                <w:color w:val="6691AB"/>
              </w:rPr>
              <w:t>% ετησίως σε επαναλαμβανόμενη βάση</w:t>
            </w:r>
          </w:p>
          <w:p w14:paraId="37B21E40" w14:textId="7E7330A8" w:rsidR="007C6465" w:rsidRPr="008F5A2F" w:rsidRDefault="007C6465" w:rsidP="008F5A2F">
            <w:pPr>
              <w:tabs>
                <w:tab w:val="left" w:pos="8262"/>
              </w:tabs>
              <w:spacing w:after="60"/>
              <w:contextualSpacing/>
              <w:rPr>
                <w:rFonts w:cs="Calibri"/>
                <w:b/>
                <w:i/>
                <w:color w:val="FF0000"/>
              </w:rPr>
            </w:pPr>
          </w:p>
        </w:tc>
        <w:tc>
          <w:tcPr>
            <w:tcW w:w="7560" w:type="dxa"/>
          </w:tcPr>
          <w:p w14:paraId="4543D739" w14:textId="21CEF97E" w:rsidR="00622982" w:rsidRDefault="008C1415" w:rsidP="00994AA8">
            <w:pPr>
              <w:spacing w:after="80" w:line="240" w:lineRule="exact"/>
              <w:jc w:val="both"/>
              <w:rPr>
                <w:sz w:val="20"/>
                <w:szCs w:val="20"/>
              </w:rPr>
            </w:pPr>
            <w:r>
              <w:rPr>
                <w:sz w:val="20"/>
                <w:szCs w:val="20"/>
              </w:rPr>
              <w:t>Τ</w:t>
            </w:r>
            <w:r w:rsidRPr="008F5A2F">
              <w:rPr>
                <w:sz w:val="20"/>
                <w:szCs w:val="20"/>
              </w:rPr>
              <w:t xml:space="preserve">α </w:t>
            </w:r>
            <w:r w:rsidR="00282036">
              <w:rPr>
                <w:sz w:val="20"/>
                <w:szCs w:val="20"/>
              </w:rPr>
              <w:t xml:space="preserve">επαναλαμβανόμενα </w:t>
            </w:r>
            <w:r w:rsidRPr="008F5A2F">
              <w:rPr>
                <w:sz w:val="20"/>
                <w:szCs w:val="20"/>
              </w:rPr>
              <w:t xml:space="preserve">λειτουργικά έξοδα το </w:t>
            </w:r>
            <w:r>
              <w:rPr>
                <w:sz w:val="20"/>
                <w:szCs w:val="20"/>
              </w:rPr>
              <w:t>1</w:t>
            </w:r>
            <w:r w:rsidRPr="008F5A2F">
              <w:rPr>
                <w:sz w:val="20"/>
                <w:szCs w:val="20"/>
              </w:rPr>
              <w:t xml:space="preserve">ο </w:t>
            </w:r>
            <w:r>
              <w:rPr>
                <w:sz w:val="20"/>
                <w:szCs w:val="20"/>
              </w:rPr>
              <w:t>6</w:t>
            </w:r>
            <w:r w:rsidRPr="008F5A2F">
              <w:rPr>
                <w:sz w:val="20"/>
                <w:szCs w:val="20"/>
              </w:rPr>
              <w:t>μηνο 2021 διαμορφώθηκαν σε €</w:t>
            </w:r>
            <w:r>
              <w:rPr>
                <w:sz w:val="20"/>
                <w:szCs w:val="20"/>
              </w:rPr>
              <w:t>444</w:t>
            </w:r>
            <w:r w:rsidRPr="008F5A2F">
              <w:rPr>
                <w:sz w:val="20"/>
                <w:szCs w:val="20"/>
              </w:rPr>
              <w:t xml:space="preserve"> εκατ.</w:t>
            </w:r>
            <w:r w:rsidR="00282036">
              <w:rPr>
                <w:sz w:val="20"/>
                <w:szCs w:val="20"/>
              </w:rPr>
              <w:t xml:space="preserve"> </w:t>
            </w:r>
            <w:r>
              <w:rPr>
                <w:sz w:val="20"/>
                <w:szCs w:val="20"/>
              </w:rPr>
              <w:t>-2</w:t>
            </w:r>
            <w:r w:rsidRPr="008F5A2F">
              <w:rPr>
                <w:sz w:val="20"/>
                <w:szCs w:val="20"/>
              </w:rPr>
              <w:t>%</w:t>
            </w:r>
            <w:r>
              <w:rPr>
                <w:sz w:val="20"/>
                <w:szCs w:val="20"/>
              </w:rPr>
              <w:t xml:space="preserve"> ετησίως</w:t>
            </w:r>
            <w:r w:rsidR="00282036">
              <w:rPr>
                <w:sz w:val="20"/>
                <w:szCs w:val="20"/>
              </w:rPr>
              <w:t>.</w:t>
            </w:r>
            <w:r w:rsidRPr="008F5A2F">
              <w:rPr>
                <w:sz w:val="20"/>
                <w:szCs w:val="20"/>
              </w:rPr>
              <w:t xml:space="preserve"> </w:t>
            </w:r>
            <w:r>
              <w:rPr>
                <w:sz w:val="20"/>
                <w:szCs w:val="20"/>
              </w:rPr>
              <w:t>Αντίστοιχα, ο</w:t>
            </w:r>
            <w:r w:rsidRPr="008F5A2F">
              <w:rPr>
                <w:sz w:val="20"/>
                <w:szCs w:val="20"/>
              </w:rPr>
              <w:t xml:space="preserve">ι δαπάνες προσωπικού </w:t>
            </w:r>
            <w:r>
              <w:rPr>
                <w:sz w:val="20"/>
                <w:szCs w:val="20"/>
              </w:rPr>
              <w:t>μειώθηκαν 9</w:t>
            </w:r>
            <w:r w:rsidRPr="008F5A2F">
              <w:rPr>
                <w:sz w:val="20"/>
                <w:szCs w:val="20"/>
              </w:rPr>
              <w:t>% ετησίως στα €</w:t>
            </w:r>
            <w:r>
              <w:rPr>
                <w:sz w:val="20"/>
                <w:szCs w:val="20"/>
              </w:rPr>
              <w:t>96</w:t>
            </w:r>
            <w:r w:rsidRPr="008F5A2F">
              <w:rPr>
                <w:sz w:val="20"/>
                <w:szCs w:val="20"/>
              </w:rPr>
              <w:t xml:space="preserve"> εκατ., </w:t>
            </w:r>
            <w:r w:rsidRPr="00660427">
              <w:rPr>
                <w:sz w:val="20"/>
                <w:szCs w:val="20"/>
              </w:rPr>
              <w:t xml:space="preserve">καθώς </w:t>
            </w:r>
            <w:r w:rsidR="00635E43">
              <w:rPr>
                <w:sz w:val="20"/>
                <w:szCs w:val="20"/>
              </w:rPr>
              <w:t xml:space="preserve">αποτυπώνεται </w:t>
            </w:r>
            <w:r w:rsidR="00282036">
              <w:rPr>
                <w:sz w:val="20"/>
                <w:szCs w:val="20"/>
              </w:rPr>
              <w:t xml:space="preserve">η εξοικονόμηση </w:t>
            </w:r>
            <w:r w:rsidRPr="00660427">
              <w:rPr>
                <w:sz w:val="20"/>
                <w:szCs w:val="20"/>
              </w:rPr>
              <w:t xml:space="preserve">από τις </w:t>
            </w:r>
            <w:r w:rsidR="00635E43">
              <w:rPr>
                <w:sz w:val="20"/>
                <w:szCs w:val="20"/>
              </w:rPr>
              <w:t>ενέργειες</w:t>
            </w:r>
            <w:r w:rsidRPr="00660427">
              <w:rPr>
                <w:sz w:val="20"/>
                <w:szCs w:val="20"/>
              </w:rPr>
              <w:t xml:space="preserve"> αναδιάρθρωσης του προσωπικού.</w:t>
            </w:r>
            <w:r w:rsidRPr="00660427">
              <w:t xml:space="preserve"> </w:t>
            </w:r>
            <w:r w:rsidRPr="008F5A2F">
              <w:rPr>
                <w:sz w:val="20"/>
                <w:szCs w:val="20"/>
              </w:rPr>
              <w:t xml:space="preserve">Τα γενικά και διοικητικά έξοδα αυξήθηκαν το </w:t>
            </w:r>
            <w:r>
              <w:rPr>
                <w:sz w:val="20"/>
                <w:szCs w:val="20"/>
              </w:rPr>
              <w:t>1</w:t>
            </w:r>
            <w:r w:rsidRPr="008F5A2F">
              <w:rPr>
                <w:sz w:val="20"/>
                <w:szCs w:val="20"/>
              </w:rPr>
              <w:t xml:space="preserve">ο </w:t>
            </w:r>
            <w:r>
              <w:rPr>
                <w:sz w:val="20"/>
                <w:szCs w:val="20"/>
              </w:rPr>
              <w:t>6</w:t>
            </w:r>
            <w:r w:rsidRPr="008F5A2F">
              <w:rPr>
                <w:sz w:val="20"/>
                <w:szCs w:val="20"/>
              </w:rPr>
              <w:t xml:space="preserve">μηνο 2021 κατά </w:t>
            </w:r>
            <w:r>
              <w:rPr>
                <w:sz w:val="20"/>
                <w:szCs w:val="20"/>
              </w:rPr>
              <w:t>7</w:t>
            </w:r>
            <w:r w:rsidRPr="008F5A2F">
              <w:rPr>
                <w:sz w:val="20"/>
                <w:szCs w:val="20"/>
              </w:rPr>
              <w:t>% σε ετήσια βάση στα €1</w:t>
            </w:r>
            <w:r>
              <w:rPr>
                <w:sz w:val="20"/>
                <w:szCs w:val="20"/>
              </w:rPr>
              <w:t>95</w:t>
            </w:r>
            <w:r w:rsidRPr="008F5A2F">
              <w:rPr>
                <w:sz w:val="20"/>
                <w:szCs w:val="20"/>
              </w:rPr>
              <w:t xml:space="preserve"> εκατ., </w:t>
            </w:r>
            <w:r w:rsidRPr="00660427">
              <w:rPr>
                <w:sz w:val="20"/>
                <w:szCs w:val="20"/>
              </w:rPr>
              <w:t>λόγω του υψηλότερου κόστους για έργα που συνδέονται με το</w:t>
            </w:r>
            <w:r>
              <w:rPr>
                <w:sz w:val="20"/>
                <w:szCs w:val="20"/>
              </w:rPr>
              <w:t xml:space="preserve">ν εταιρικό </w:t>
            </w:r>
            <w:r w:rsidRPr="00660427">
              <w:rPr>
                <w:sz w:val="20"/>
                <w:szCs w:val="20"/>
              </w:rPr>
              <w:t>μετασχηματισμ</w:t>
            </w:r>
            <w:r w:rsidR="00635E43">
              <w:rPr>
                <w:sz w:val="20"/>
                <w:szCs w:val="20"/>
              </w:rPr>
              <w:t>ό</w:t>
            </w:r>
            <w:r w:rsidRPr="00660427">
              <w:rPr>
                <w:sz w:val="20"/>
                <w:szCs w:val="20"/>
              </w:rPr>
              <w:t xml:space="preserve"> και </w:t>
            </w:r>
            <w:r w:rsidR="00635E43">
              <w:rPr>
                <w:sz w:val="20"/>
                <w:szCs w:val="20"/>
              </w:rPr>
              <w:t xml:space="preserve">τη </w:t>
            </w:r>
            <w:r>
              <w:rPr>
                <w:sz w:val="20"/>
                <w:szCs w:val="20"/>
              </w:rPr>
              <w:t>μείωση</w:t>
            </w:r>
            <w:r w:rsidRPr="00660427">
              <w:rPr>
                <w:sz w:val="20"/>
                <w:szCs w:val="20"/>
              </w:rPr>
              <w:t xml:space="preserve"> των </w:t>
            </w:r>
            <w:r>
              <w:rPr>
                <w:sz w:val="20"/>
                <w:szCs w:val="20"/>
              </w:rPr>
              <w:t>μη εξυπηρετούμενων ανοιγμάτων</w:t>
            </w:r>
            <w:r w:rsidRPr="008F5A2F">
              <w:rPr>
                <w:sz w:val="20"/>
                <w:szCs w:val="20"/>
              </w:rPr>
              <w:t xml:space="preserve">. Ο δείκτης κόστους προς έσοδα </w:t>
            </w:r>
            <w:r w:rsidR="00282036">
              <w:rPr>
                <w:sz w:val="20"/>
                <w:szCs w:val="20"/>
              </w:rPr>
              <w:t xml:space="preserve">σε </w:t>
            </w:r>
            <w:r w:rsidR="00635E43">
              <w:rPr>
                <w:sz w:val="20"/>
                <w:szCs w:val="20"/>
              </w:rPr>
              <w:t>ε</w:t>
            </w:r>
            <w:r w:rsidR="00282036">
              <w:rPr>
                <w:sz w:val="20"/>
                <w:szCs w:val="20"/>
              </w:rPr>
              <w:t xml:space="preserve">παναλαμβανόμενη βάση </w:t>
            </w:r>
            <w:r w:rsidRPr="008F5A2F">
              <w:rPr>
                <w:sz w:val="20"/>
                <w:szCs w:val="20"/>
              </w:rPr>
              <w:t>βελτιώθηκε στο 4</w:t>
            </w:r>
            <w:r>
              <w:rPr>
                <w:sz w:val="20"/>
                <w:szCs w:val="20"/>
              </w:rPr>
              <w:t>1</w:t>
            </w:r>
            <w:r w:rsidRPr="008F5A2F">
              <w:rPr>
                <w:sz w:val="20"/>
                <w:szCs w:val="20"/>
              </w:rPr>
              <w:t xml:space="preserve">% το </w:t>
            </w:r>
            <w:r>
              <w:rPr>
                <w:sz w:val="20"/>
                <w:szCs w:val="20"/>
              </w:rPr>
              <w:t>1</w:t>
            </w:r>
            <w:r w:rsidRPr="008F5A2F">
              <w:rPr>
                <w:sz w:val="20"/>
                <w:szCs w:val="20"/>
              </w:rPr>
              <w:t xml:space="preserve">ο </w:t>
            </w:r>
            <w:r>
              <w:rPr>
                <w:sz w:val="20"/>
                <w:szCs w:val="20"/>
              </w:rPr>
              <w:t>6</w:t>
            </w:r>
            <w:r w:rsidRPr="008F5A2F">
              <w:rPr>
                <w:sz w:val="20"/>
                <w:szCs w:val="20"/>
              </w:rPr>
              <w:t xml:space="preserve">μηνο 2021 </w:t>
            </w:r>
            <w:r>
              <w:rPr>
                <w:sz w:val="20"/>
                <w:szCs w:val="20"/>
              </w:rPr>
              <w:t xml:space="preserve">έναντι 49% το </w:t>
            </w:r>
            <w:r w:rsidR="00635E43">
              <w:rPr>
                <w:sz w:val="20"/>
                <w:szCs w:val="20"/>
              </w:rPr>
              <w:t>ίδιο διάστημα πέρυσι</w:t>
            </w:r>
            <w:r>
              <w:rPr>
                <w:sz w:val="20"/>
                <w:szCs w:val="20"/>
              </w:rPr>
              <w:t xml:space="preserve">, κυρίως </w:t>
            </w:r>
            <w:r w:rsidRPr="008F5A2F">
              <w:rPr>
                <w:sz w:val="20"/>
                <w:szCs w:val="20"/>
              </w:rPr>
              <w:t>λόγω της μείωσης των δαπανών προσωπικού και της αύξησης των τραπεζικών εσόδων</w:t>
            </w:r>
            <w:r>
              <w:rPr>
                <w:sz w:val="20"/>
                <w:szCs w:val="20"/>
              </w:rPr>
              <w:t>.</w:t>
            </w:r>
            <w:r w:rsidR="00282036">
              <w:rPr>
                <w:sz w:val="20"/>
                <w:szCs w:val="20"/>
              </w:rPr>
              <w:t xml:space="preserve"> </w:t>
            </w:r>
            <w:r w:rsidRPr="00A62563">
              <w:rPr>
                <w:sz w:val="20"/>
                <w:szCs w:val="20"/>
              </w:rPr>
              <w:t>Περαιτέρω βελτίωση</w:t>
            </w:r>
            <w:r w:rsidRPr="008F5A2F">
              <w:rPr>
                <w:sz w:val="20"/>
                <w:szCs w:val="20"/>
              </w:rPr>
              <w:t xml:space="preserve"> αναμένεται να σημειωθεί</w:t>
            </w:r>
            <w:r w:rsidR="00635E43">
              <w:rPr>
                <w:sz w:val="20"/>
                <w:szCs w:val="20"/>
              </w:rPr>
              <w:t>,</w:t>
            </w:r>
            <w:r w:rsidRPr="008F5A2F">
              <w:rPr>
                <w:sz w:val="20"/>
                <w:szCs w:val="20"/>
              </w:rPr>
              <w:t xml:space="preserve"> καθώς είναι σε εξέλιξη το σχέδιο μετασχηματισμού και η συνεχιζόμενη ψηφιοποίηση δραστηριοτήτων της Τράπεζας</w:t>
            </w:r>
            <w:r>
              <w:rPr>
                <w:sz w:val="20"/>
                <w:szCs w:val="20"/>
              </w:rPr>
              <w:t xml:space="preserve">. </w:t>
            </w:r>
          </w:p>
          <w:p w14:paraId="473F59A3" w14:textId="1ED3FAA9" w:rsidR="008C1415" w:rsidRPr="008F5A2F" w:rsidRDefault="008C1415" w:rsidP="00994AA8">
            <w:pPr>
              <w:spacing w:after="80" w:line="240" w:lineRule="exact"/>
              <w:jc w:val="both"/>
              <w:rPr>
                <w:sz w:val="20"/>
                <w:szCs w:val="20"/>
              </w:rPr>
            </w:pPr>
          </w:p>
        </w:tc>
      </w:tr>
      <w:tr w:rsidR="007C6465" w:rsidRPr="002B1094" w14:paraId="3ED14405" w14:textId="77777777" w:rsidTr="00522E0F">
        <w:trPr>
          <w:trHeight w:val="1267"/>
        </w:trPr>
        <w:tc>
          <w:tcPr>
            <w:tcW w:w="1710" w:type="dxa"/>
          </w:tcPr>
          <w:p w14:paraId="3B407CB2" w14:textId="77777777" w:rsidR="008C1415" w:rsidRPr="00D02893" w:rsidRDefault="008C1415" w:rsidP="008C1415">
            <w:pPr>
              <w:tabs>
                <w:tab w:val="left" w:pos="8262"/>
              </w:tabs>
              <w:spacing w:after="60"/>
              <w:ind w:right="-185"/>
              <w:contextualSpacing/>
              <w:rPr>
                <w:rFonts w:eastAsiaTheme="minorEastAsia" w:cs="Calibri"/>
                <w:i/>
                <w:color w:val="6691AB"/>
              </w:rPr>
            </w:pPr>
            <w:r>
              <w:rPr>
                <w:rFonts w:eastAsiaTheme="minorEastAsia" w:cs="Calibri"/>
                <w:i/>
                <w:color w:val="6691AB"/>
              </w:rPr>
              <w:t>Έ</w:t>
            </w:r>
            <w:r w:rsidRPr="00D02893">
              <w:rPr>
                <w:rFonts w:eastAsiaTheme="minorEastAsia" w:cs="Calibri"/>
                <w:i/>
                <w:color w:val="6691AB"/>
              </w:rPr>
              <w:t xml:space="preserve">σοδα προ προβλέψεων </w:t>
            </w:r>
            <w:r>
              <w:rPr>
                <w:rFonts w:eastAsiaTheme="minorEastAsia" w:cs="Calibri"/>
                <w:i/>
                <w:color w:val="6691AB"/>
              </w:rPr>
              <w:t xml:space="preserve">που </w:t>
            </w:r>
            <w:r w:rsidRPr="00D02893">
              <w:rPr>
                <w:rFonts w:eastAsiaTheme="minorEastAsia" w:cs="Calibri"/>
                <w:i/>
                <w:color w:val="6691AB"/>
              </w:rPr>
              <w:t>αντανακλούν τη δυναμική των τραπεζικών δραστηριοτήτων</w:t>
            </w:r>
          </w:p>
          <w:p w14:paraId="1C5EF938" w14:textId="15DE3464" w:rsidR="007C6465" w:rsidRPr="002B1094" w:rsidRDefault="007C6465" w:rsidP="00D07C81">
            <w:pPr>
              <w:tabs>
                <w:tab w:val="left" w:pos="8262"/>
              </w:tabs>
              <w:spacing w:after="60"/>
              <w:ind w:right="74"/>
              <w:contextualSpacing/>
              <w:rPr>
                <w:rFonts w:cs="Calibri"/>
                <w:b/>
                <w:i/>
                <w:noProof/>
                <w:color w:val="FF0000"/>
                <w:lang w:eastAsia="el-GR"/>
              </w:rPr>
            </w:pPr>
          </w:p>
        </w:tc>
        <w:tc>
          <w:tcPr>
            <w:tcW w:w="7560" w:type="dxa"/>
          </w:tcPr>
          <w:p w14:paraId="31928367" w14:textId="2CCF2C8E" w:rsidR="008C1415" w:rsidRPr="0005660D" w:rsidRDefault="008C1415" w:rsidP="008C1415">
            <w:pPr>
              <w:spacing w:after="80" w:line="240" w:lineRule="exact"/>
              <w:jc w:val="both"/>
              <w:rPr>
                <w:sz w:val="20"/>
                <w:szCs w:val="20"/>
              </w:rPr>
            </w:pPr>
            <w:r w:rsidRPr="0005660D">
              <w:rPr>
                <w:sz w:val="20"/>
                <w:szCs w:val="20"/>
              </w:rPr>
              <w:t>Τα κέρδη προ προβλέψεων (έσοδα από τόκους και προμήθειες μείον επαναλαμβανόμενα λειτουργικά έξοδα)</w:t>
            </w:r>
            <w:r>
              <w:rPr>
                <w:sz w:val="20"/>
                <w:szCs w:val="20"/>
              </w:rPr>
              <w:t xml:space="preserve"> </w:t>
            </w:r>
            <w:r w:rsidRPr="0005660D">
              <w:rPr>
                <w:sz w:val="20"/>
                <w:szCs w:val="20"/>
              </w:rPr>
              <w:t>ανήλθαν σε €</w:t>
            </w:r>
            <w:r>
              <w:rPr>
                <w:sz w:val="20"/>
                <w:szCs w:val="20"/>
              </w:rPr>
              <w:t>505</w:t>
            </w:r>
            <w:r w:rsidRPr="0005660D">
              <w:rPr>
                <w:sz w:val="20"/>
                <w:szCs w:val="20"/>
              </w:rPr>
              <w:t xml:space="preserve"> εκατ. το </w:t>
            </w:r>
            <w:r>
              <w:rPr>
                <w:sz w:val="20"/>
                <w:szCs w:val="20"/>
              </w:rPr>
              <w:t>1</w:t>
            </w:r>
            <w:r w:rsidRPr="0005660D">
              <w:rPr>
                <w:sz w:val="20"/>
                <w:szCs w:val="20"/>
              </w:rPr>
              <w:t xml:space="preserve">ο </w:t>
            </w:r>
            <w:r>
              <w:rPr>
                <w:sz w:val="20"/>
                <w:szCs w:val="20"/>
              </w:rPr>
              <w:t>6</w:t>
            </w:r>
            <w:r w:rsidRPr="0005660D">
              <w:rPr>
                <w:sz w:val="20"/>
                <w:szCs w:val="20"/>
              </w:rPr>
              <w:t>μηνο 2021, 1</w:t>
            </w:r>
            <w:r>
              <w:rPr>
                <w:sz w:val="20"/>
                <w:szCs w:val="20"/>
              </w:rPr>
              <w:t>8</w:t>
            </w:r>
            <w:r w:rsidRPr="0005660D">
              <w:rPr>
                <w:sz w:val="20"/>
                <w:szCs w:val="20"/>
              </w:rPr>
              <w:t xml:space="preserve">% </w:t>
            </w:r>
            <w:r>
              <w:rPr>
                <w:sz w:val="20"/>
                <w:szCs w:val="20"/>
              </w:rPr>
              <w:t>υψηλότερα</w:t>
            </w:r>
            <w:r w:rsidRPr="0005660D">
              <w:rPr>
                <w:sz w:val="20"/>
                <w:szCs w:val="20"/>
              </w:rPr>
              <w:t xml:space="preserve"> σε ετήσια βάση</w:t>
            </w:r>
            <w:r>
              <w:rPr>
                <w:sz w:val="20"/>
                <w:szCs w:val="20"/>
              </w:rPr>
              <w:t xml:space="preserve">. </w:t>
            </w:r>
            <w:r w:rsidRPr="0005660D">
              <w:rPr>
                <w:sz w:val="20"/>
                <w:szCs w:val="20"/>
              </w:rPr>
              <w:t xml:space="preserve">Η δυναμική της Τράπεζας αντανακλάται </w:t>
            </w:r>
            <w:r>
              <w:rPr>
                <w:sz w:val="20"/>
                <w:szCs w:val="20"/>
              </w:rPr>
              <w:t xml:space="preserve">σε όλους τους τομείς και ανοίγει το δρόμο για την επίτευξη των στρατηγικών μας </w:t>
            </w:r>
            <w:r w:rsidR="0025028E">
              <w:rPr>
                <w:sz w:val="20"/>
                <w:szCs w:val="20"/>
              </w:rPr>
              <w:t>επιδιώξεων</w:t>
            </w:r>
            <w:r>
              <w:rPr>
                <w:sz w:val="20"/>
                <w:szCs w:val="20"/>
              </w:rPr>
              <w:t xml:space="preserve">, </w:t>
            </w:r>
            <w:r w:rsidRPr="0078463B">
              <w:rPr>
                <w:sz w:val="20"/>
                <w:szCs w:val="20"/>
              </w:rPr>
              <w:t xml:space="preserve">σε ευθυγράμμιση με την </w:t>
            </w:r>
            <w:r>
              <w:rPr>
                <w:sz w:val="20"/>
                <w:szCs w:val="20"/>
              </w:rPr>
              <w:t>εξομάλυνση της απομείωσης των δανείων</w:t>
            </w:r>
            <w:r w:rsidRPr="0005660D">
              <w:rPr>
                <w:sz w:val="20"/>
                <w:szCs w:val="20"/>
              </w:rPr>
              <w:t>.</w:t>
            </w:r>
          </w:p>
          <w:p w14:paraId="4091FA96" w14:textId="77777777" w:rsidR="00622982" w:rsidRDefault="00622982" w:rsidP="00C136EE">
            <w:pPr>
              <w:spacing w:after="80" w:line="240" w:lineRule="exact"/>
              <w:jc w:val="both"/>
              <w:rPr>
                <w:sz w:val="20"/>
                <w:szCs w:val="20"/>
              </w:rPr>
            </w:pPr>
          </w:p>
          <w:p w14:paraId="52AF517F" w14:textId="77777777" w:rsidR="00622982" w:rsidRDefault="00622982" w:rsidP="00C136EE">
            <w:pPr>
              <w:spacing w:after="80" w:line="240" w:lineRule="exact"/>
              <w:jc w:val="both"/>
              <w:rPr>
                <w:sz w:val="20"/>
                <w:szCs w:val="20"/>
              </w:rPr>
            </w:pPr>
          </w:p>
          <w:p w14:paraId="028B8DF3" w14:textId="1723C7A9" w:rsidR="00622982" w:rsidRPr="002B1094" w:rsidRDefault="00622982" w:rsidP="00C136EE">
            <w:pPr>
              <w:spacing w:after="80" w:line="240" w:lineRule="exact"/>
              <w:jc w:val="both"/>
              <w:rPr>
                <w:sz w:val="20"/>
                <w:szCs w:val="20"/>
              </w:rPr>
            </w:pPr>
          </w:p>
        </w:tc>
      </w:tr>
      <w:tr w:rsidR="007C6465" w:rsidRPr="002B1094" w14:paraId="5640AD40" w14:textId="77777777" w:rsidTr="0013797D">
        <w:trPr>
          <w:trHeight w:val="1702"/>
        </w:trPr>
        <w:tc>
          <w:tcPr>
            <w:tcW w:w="1710" w:type="dxa"/>
          </w:tcPr>
          <w:p w14:paraId="1395478D" w14:textId="77777777" w:rsidR="002C6BC8" w:rsidRPr="00D02893" w:rsidRDefault="002C6BC8" w:rsidP="002C6BC8">
            <w:pPr>
              <w:tabs>
                <w:tab w:val="left" w:pos="8262"/>
              </w:tabs>
              <w:spacing w:after="60"/>
              <w:ind w:right="74"/>
              <w:contextualSpacing/>
              <w:rPr>
                <w:rFonts w:eastAsiaTheme="minorEastAsia" w:cs="Calibri"/>
                <w:i/>
                <w:color w:val="6691AB"/>
              </w:rPr>
            </w:pPr>
            <w:r>
              <w:rPr>
                <w:rFonts w:eastAsiaTheme="minorEastAsia" w:cs="Calibri"/>
                <w:i/>
                <w:color w:val="6691AB"/>
              </w:rPr>
              <w:lastRenderedPageBreak/>
              <w:t>Οργανικό</w:t>
            </w:r>
            <w:r w:rsidRPr="002B1094">
              <w:rPr>
                <w:rFonts w:eastAsiaTheme="minorEastAsia" w:cs="Calibri"/>
                <w:i/>
                <w:color w:val="6691AB"/>
              </w:rPr>
              <w:t xml:space="preserve"> έξοδο προβλέψεων </w:t>
            </w:r>
            <w:r>
              <w:rPr>
                <w:rFonts w:eastAsiaTheme="minorEastAsia" w:cs="Calibri"/>
                <w:i/>
                <w:color w:val="6691AB"/>
              </w:rPr>
              <w:t>σημαντικά βελτιωμένο το 2</w:t>
            </w:r>
            <w:r w:rsidRPr="00D02893">
              <w:rPr>
                <w:rFonts w:eastAsiaTheme="minorEastAsia" w:cs="Calibri"/>
                <w:i/>
                <w:color w:val="6691AB"/>
                <w:vertAlign w:val="superscript"/>
              </w:rPr>
              <w:t>ο</w:t>
            </w:r>
            <w:r>
              <w:rPr>
                <w:rFonts w:eastAsiaTheme="minorEastAsia" w:cs="Calibri"/>
                <w:i/>
                <w:color w:val="6691AB"/>
              </w:rPr>
              <w:t xml:space="preserve"> 3μηνο 2021</w:t>
            </w:r>
          </w:p>
          <w:p w14:paraId="0379D5C0" w14:textId="37ECD432" w:rsidR="007C6465" w:rsidRPr="002B1094" w:rsidRDefault="007C6465" w:rsidP="00D07C81">
            <w:pPr>
              <w:tabs>
                <w:tab w:val="left" w:pos="8262"/>
              </w:tabs>
              <w:spacing w:after="60"/>
              <w:ind w:right="74"/>
              <w:contextualSpacing/>
              <w:rPr>
                <w:rFonts w:cs="Calibri"/>
                <w:b/>
                <w:i/>
                <w:noProof/>
                <w:color w:val="FF0000"/>
                <w:lang w:eastAsia="el-GR"/>
              </w:rPr>
            </w:pPr>
          </w:p>
        </w:tc>
        <w:tc>
          <w:tcPr>
            <w:tcW w:w="7560" w:type="dxa"/>
          </w:tcPr>
          <w:p w14:paraId="637967C5" w14:textId="4245AA01" w:rsidR="002C6BC8" w:rsidRPr="00DB3222" w:rsidRDefault="002C6BC8" w:rsidP="002C6BC8">
            <w:pPr>
              <w:jc w:val="both"/>
              <w:rPr>
                <w:sz w:val="20"/>
                <w:szCs w:val="20"/>
              </w:rPr>
            </w:pPr>
            <w:r w:rsidRPr="002B1094">
              <w:rPr>
                <w:sz w:val="20"/>
                <w:szCs w:val="20"/>
              </w:rPr>
              <w:t>Το 2</w:t>
            </w:r>
            <w:r w:rsidRPr="002B1094">
              <w:rPr>
                <w:sz w:val="20"/>
                <w:szCs w:val="20"/>
                <w:vertAlign w:val="superscript"/>
              </w:rPr>
              <w:t>ο</w:t>
            </w:r>
            <w:r w:rsidRPr="002B1094">
              <w:rPr>
                <w:sz w:val="20"/>
                <w:szCs w:val="20"/>
              </w:rPr>
              <w:t xml:space="preserve"> 3μηνο 2021 οι </w:t>
            </w:r>
            <w:r>
              <w:rPr>
                <w:sz w:val="20"/>
                <w:szCs w:val="20"/>
              </w:rPr>
              <w:t xml:space="preserve">οργανικές </w:t>
            </w:r>
            <w:r w:rsidRPr="002B1094">
              <w:rPr>
                <w:sz w:val="20"/>
                <w:szCs w:val="20"/>
              </w:rPr>
              <w:t xml:space="preserve">προβλέψεις δανείων </w:t>
            </w:r>
            <w:r w:rsidR="00203EFC">
              <w:rPr>
                <w:sz w:val="20"/>
                <w:szCs w:val="20"/>
              </w:rPr>
              <w:t xml:space="preserve">διαμορφώθηκαν σε </w:t>
            </w:r>
            <w:r w:rsidRPr="002B1094">
              <w:rPr>
                <w:sz w:val="20"/>
                <w:szCs w:val="20"/>
              </w:rPr>
              <w:t>€</w:t>
            </w:r>
            <w:r>
              <w:rPr>
                <w:sz w:val="20"/>
                <w:szCs w:val="20"/>
              </w:rPr>
              <w:t>94</w:t>
            </w:r>
            <w:r w:rsidRPr="002B1094">
              <w:rPr>
                <w:sz w:val="20"/>
                <w:szCs w:val="20"/>
              </w:rPr>
              <w:t xml:space="preserve"> εκατ. από €1</w:t>
            </w:r>
            <w:r>
              <w:rPr>
                <w:sz w:val="20"/>
                <w:szCs w:val="20"/>
              </w:rPr>
              <w:t>3</w:t>
            </w:r>
            <w:r w:rsidRPr="002B1094">
              <w:rPr>
                <w:sz w:val="20"/>
                <w:szCs w:val="20"/>
              </w:rPr>
              <w:t>2 εκατ. το αντίστοιχο τρίμηνο του 2020</w:t>
            </w:r>
            <w:r w:rsidRPr="00DB3222">
              <w:rPr>
                <w:sz w:val="20"/>
                <w:szCs w:val="20"/>
              </w:rPr>
              <w:t xml:space="preserve"> </w:t>
            </w:r>
            <w:r>
              <w:rPr>
                <w:sz w:val="20"/>
                <w:szCs w:val="20"/>
              </w:rPr>
              <w:t xml:space="preserve">λόγω της μεγάλης μείωσης των </w:t>
            </w:r>
            <w:r>
              <w:rPr>
                <w:sz w:val="20"/>
                <w:szCs w:val="20"/>
                <w:lang w:val="en-US"/>
              </w:rPr>
              <w:t>NPE</w:t>
            </w:r>
            <w:r w:rsidR="00203EFC">
              <w:rPr>
                <w:sz w:val="20"/>
                <w:szCs w:val="20"/>
                <w:lang w:val="en-US"/>
              </w:rPr>
              <w:t>s</w:t>
            </w:r>
            <w:r w:rsidRPr="002B1094">
              <w:rPr>
                <w:sz w:val="20"/>
                <w:szCs w:val="20"/>
              </w:rPr>
              <w:t>. Απομειώσεις ύψους</w:t>
            </w:r>
            <w:r w:rsidRPr="002B1094">
              <w:rPr>
                <w:color w:val="001E4B" w:themeColor="text2" w:themeShade="80"/>
                <w:sz w:val="20"/>
                <w:szCs w:val="20"/>
              </w:rPr>
              <w:t xml:space="preserve"> </w:t>
            </w:r>
            <w:r w:rsidRPr="00DB3222">
              <w:rPr>
                <w:sz w:val="20"/>
                <w:szCs w:val="20"/>
              </w:rPr>
              <w:t xml:space="preserve">€2,2 δισ. </w:t>
            </w:r>
            <w:r>
              <w:rPr>
                <w:sz w:val="20"/>
                <w:szCs w:val="20"/>
              </w:rPr>
              <w:t>το 2</w:t>
            </w:r>
            <w:r w:rsidRPr="00DB3222">
              <w:rPr>
                <w:sz w:val="20"/>
                <w:szCs w:val="20"/>
                <w:vertAlign w:val="superscript"/>
              </w:rPr>
              <w:t>ο</w:t>
            </w:r>
            <w:r>
              <w:rPr>
                <w:sz w:val="20"/>
                <w:szCs w:val="20"/>
              </w:rPr>
              <w:t xml:space="preserve"> 3μηνο 2021 </w:t>
            </w:r>
            <w:r w:rsidRPr="002B1094">
              <w:rPr>
                <w:sz w:val="20"/>
                <w:szCs w:val="20"/>
              </w:rPr>
              <w:t>σχετίζοντα</w:t>
            </w:r>
            <w:r w:rsidR="00203EFC">
              <w:rPr>
                <w:sz w:val="20"/>
                <w:szCs w:val="20"/>
              </w:rPr>
              <w:t xml:space="preserve">ι με τις ζημίες </w:t>
            </w:r>
            <w:r w:rsidRPr="002B1094">
              <w:rPr>
                <w:sz w:val="20"/>
                <w:szCs w:val="20"/>
              </w:rPr>
              <w:t>από τ</w:t>
            </w:r>
            <w:r>
              <w:rPr>
                <w:sz w:val="20"/>
                <w:szCs w:val="20"/>
              </w:rPr>
              <w:t>ις</w:t>
            </w:r>
            <w:r w:rsidRPr="002B1094">
              <w:rPr>
                <w:sz w:val="20"/>
                <w:szCs w:val="20"/>
              </w:rPr>
              <w:t xml:space="preserve"> </w:t>
            </w:r>
            <w:r>
              <w:rPr>
                <w:sz w:val="20"/>
                <w:szCs w:val="20"/>
              </w:rPr>
              <w:t xml:space="preserve">συναλλαγές </w:t>
            </w:r>
            <w:r w:rsidRPr="002B1094">
              <w:rPr>
                <w:sz w:val="20"/>
                <w:szCs w:val="20"/>
                <w:lang w:val="en-US"/>
              </w:rPr>
              <w:t>Phoenix</w:t>
            </w:r>
            <w:r>
              <w:rPr>
                <w:sz w:val="20"/>
                <w:szCs w:val="20"/>
              </w:rPr>
              <w:t>,</w:t>
            </w:r>
            <w:r w:rsidRPr="002B1094">
              <w:rPr>
                <w:sz w:val="20"/>
                <w:szCs w:val="20"/>
              </w:rPr>
              <w:t xml:space="preserve"> </w:t>
            </w:r>
            <w:r w:rsidRPr="002B1094">
              <w:rPr>
                <w:sz w:val="20"/>
                <w:szCs w:val="20"/>
                <w:lang w:val="en-US"/>
              </w:rPr>
              <w:t>Vega</w:t>
            </w:r>
            <w:r>
              <w:rPr>
                <w:sz w:val="20"/>
                <w:szCs w:val="20"/>
              </w:rPr>
              <w:t xml:space="preserve"> και </w:t>
            </w:r>
            <w:r>
              <w:rPr>
                <w:sz w:val="20"/>
                <w:szCs w:val="20"/>
                <w:lang w:val="en-US"/>
              </w:rPr>
              <w:t>Sunrise</w:t>
            </w:r>
            <w:r w:rsidRPr="000D1F49">
              <w:rPr>
                <w:sz w:val="20"/>
                <w:szCs w:val="20"/>
              </w:rPr>
              <w:t xml:space="preserve"> 1 </w:t>
            </w:r>
            <w:r>
              <w:rPr>
                <w:sz w:val="20"/>
                <w:szCs w:val="20"/>
                <w:lang w:val="en-US"/>
              </w:rPr>
              <w:t>HAPS</w:t>
            </w:r>
            <w:r w:rsidRPr="00DB3222">
              <w:rPr>
                <w:sz w:val="20"/>
                <w:szCs w:val="20"/>
              </w:rPr>
              <w:t xml:space="preserve"> </w:t>
            </w:r>
            <w:r w:rsidRPr="002B1094">
              <w:rPr>
                <w:sz w:val="20"/>
                <w:szCs w:val="20"/>
              </w:rPr>
              <w:t xml:space="preserve"> μεικτής λογιστικής αξίας €</w:t>
            </w:r>
            <w:r w:rsidRPr="000D1F49">
              <w:rPr>
                <w:sz w:val="20"/>
                <w:szCs w:val="20"/>
              </w:rPr>
              <w:t>14</w:t>
            </w:r>
            <w:r w:rsidRPr="002B1094">
              <w:rPr>
                <w:sz w:val="20"/>
                <w:szCs w:val="20"/>
              </w:rPr>
              <w:t xml:space="preserve"> δισ. Το </w:t>
            </w:r>
            <w:r>
              <w:rPr>
                <w:sz w:val="20"/>
                <w:szCs w:val="20"/>
              </w:rPr>
              <w:t xml:space="preserve">οργανικό </w:t>
            </w:r>
            <w:r w:rsidRPr="002B1094">
              <w:rPr>
                <w:sz w:val="20"/>
                <w:szCs w:val="20"/>
              </w:rPr>
              <w:t xml:space="preserve">έξοδο των προβλέψεων ως ποσοστό των δανείων μετά από προβλέψεις διαμορφώθηκε σε </w:t>
            </w:r>
            <w:r>
              <w:rPr>
                <w:sz w:val="20"/>
                <w:szCs w:val="20"/>
              </w:rPr>
              <w:t>1</w:t>
            </w:r>
            <w:r w:rsidRPr="002B1094">
              <w:rPr>
                <w:sz w:val="20"/>
                <w:szCs w:val="20"/>
              </w:rPr>
              <w:t>,</w:t>
            </w:r>
            <w:r>
              <w:rPr>
                <w:sz w:val="20"/>
                <w:szCs w:val="20"/>
              </w:rPr>
              <w:t>1</w:t>
            </w:r>
            <w:r w:rsidRPr="002B1094">
              <w:rPr>
                <w:sz w:val="20"/>
                <w:szCs w:val="20"/>
              </w:rPr>
              <w:t>% το 2</w:t>
            </w:r>
            <w:r w:rsidRPr="002B1094">
              <w:rPr>
                <w:sz w:val="20"/>
                <w:szCs w:val="20"/>
                <w:vertAlign w:val="superscript"/>
              </w:rPr>
              <w:t>ο</w:t>
            </w:r>
            <w:r w:rsidRPr="002B1094">
              <w:rPr>
                <w:sz w:val="20"/>
                <w:szCs w:val="20"/>
              </w:rPr>
              <w:t xml:space="preserve"> 3μηνο 2021</w:t>
            </w:r>
            <w:r w:rsidR="0013797D">
              <w:rPr>
                <w:sz w:val="20"/>
                <w:szCs w:val="20"/>
              </w:rPr>
              <w:t>.</w:t>
            </w:r>
          </w:p>
          <w:p w14:paraId="39283331" w14:textId="6B9C3A67" w:rsidR="007664C0" w:rsidRPr="002B1094" w:rsidRDefault="007664C0" w:rsidP="002B1094">
            <w:pPr>
              <w:jc w:val="both"/>
              <w:rPr>
                <w:sz w:val="20"/>
                <w:szCs w:val="20"/>
              </w:rPr>
            </w:pPr>
          </w:p>
        </w:tc>
      </w:tr>
      <w:tr w:rsidR="007C6465" w:rsidRPr="00C136EE" w14:paraId="6C752880" w14:textId="77777777" w:rsidTr="00D07C81">
        <w:tc>
          <w:tcPr>
            <w:tcW w:w="1710" w:type="dxa"/>
          </w:tcPr>
          <w:p w14:paraId="0757F069" w14:textId="7AD57E1E" w:rsidR="002C6BC8" w:rsidRPr="00536F3A" w:rsidRDefault="002C6BC8" w:rsidP="002C6BC8">
            <w:pPr>
              <w:tabs>
                <w:tab w:val="left" w:pos="8262"/>
              </w:tabs>
              <w:spacing w:after="60"/>
              <w:ind w:right="74"/>
              <w:contextualSpacing/>
              <w:rPr>
                <w:rFonts w:eastAsiaTheme="minorEastAsia" w:cs="Calibri"/>
                <w:i/>
                <w:color w:val="6691AB"/>
              </w:rPr>
            </w:pPr>
            <w:r>
              <w:rPr>
                <w:rFonts w:eastAsiaTheme="minorEastAsia" w:cs="Calibri"/>
                <w:i/>
                <w:color w:val="6691AB"/>
              </w:rPr>
              <w:t>Προ φόρων και καθαρό αποτέλεσμα το 2</w:t>
            </w:r>
            <w:r w:rsidRPr="00536F3A">
              <w:rPr>
                <w:rFonts w:eastAsiaTheme="minorEastAsia" w:cs="Calibri"/>
                <w:i/>
                <w:color w:val="6691AB"/>
                <w:vertAlign w:val="superscript"/>
              </w:rPr>
              <w:t>ο</w:t>
            </w:r>
            <w:r>
              <w:rPr>
                <w:rFonts w:eastAsiaTheme="minorEastAsia" w:cs="Calibri"/>
                <w:i/>
                <w:color w:val="6691AB"/>
              </w:rPr>
              <w:t xml:space="preserve"> 3μηνο 2021</w:t>
            </w:r>
          </w:p>
          <w:p w14:paraId="5383BA42" w14:textId="3F6B02D1" w:rsidR="007C6465" w:rsidRPr="00C136EE" w:rsidRDefault="007C6465" w:rsidP="00D07C81">
            <w:pPr>
              <w:tabs>
                <w:tab w:val="left" w:pos="8262"/>
              </w:tabs>
              <w:spacing w:after="60"/>
              <w:ind w:right="74"/>
              <w:contextualSpacing/>
              <w:rPr>
                <w:rFonts w:cs="Calibri"/>
                <w:b/>
                <w:i/>
                <w:color w:val="FF0000"/>
                <w:sz w:val="24"/>
                <w:szCs w:val="24"/>
              </w:rPr>
            </w:pPr>
          </w:p>
        </w:tc>
        <w:tc>
          <w:tcPr>
            <w:tcW w:w="7560" w:type="dxa"/>
          </w:tcPr>
          <w:p w14:paraId="7F8D57FB" w14:textId="691F2D0E" w:rsidR="007C6465" w:rsidRPr="00C136EE" w:rsidRDefault="002C6BC8" w:rsidP="0013797D">
            <w:pPr>
              <w:spacing w:after="80" w:line="240" w:lineRule="exact"/>
              <w:ind w:left="-33"/>
              <w:jc w:val="both"/>
              <w:rPr>
                <w:sz w:val="20"/>
                <w:szCs w:val="20"/>
              </w:rPr>
            </w:pPr>
            <w:r w:rsidRPr="00C136EE">
              <w:rPr>
                <w:sz w:val="20"/>
                <w:szCs w:val="20"/>
              </w:rPr>
              <w:t>Το προ φόρων αποτέλεσμα το 2ο 3μηνο 2021 ανέρχεται σε ζημία €</w:t>
            </w:r>
            <w:r w:rsidRPr="00F14D78">
              <w:rPr>
                <w:sz w:val="20"/>
                <w:szCs w:val="20"/>
              </w:rPr>
              <w:t>1</w:t>
            </w:r>
            <w:r w:rsidRPr="00C136EE">
              <w:rPr>
                <w:sz w:val="20"/>
                <w:szCs w:val="20"/>
              </w:rPr>
              <w:t>.</w:t>
            </w:r>
            <w:r w:rsidRPr="00F14D78">
              <w:rPr>
                <w:sz w:val="20"/>
                <w:szCs w:val="20"/>
              </w:rPr>
              <w:t>980</w:t>
            </w:r>
            <w:r w:rsidRPr="00C136EE">
              <w:rPr>
                <w:sz w:val="20"/>
                <w:szCs w:val="20"/>
              </w:rPr>
              <w:t xml:space="preserve"> εκατ. </w:t>
            </w:r>
            <w:r w:rsidR="0013797D">
              <w:rPr>
                <w:sz w:val="20"/>
                <w:szCs w:val="20"/>
              </w:rPr>
              <w:t>ε</w:t>
            </w:r>
            <w:r w:rsidR="005C51B7">
              <w:rPr>
                <w:sz w:val="20"/>
                <w:szCs w:val="20"/>
              </w:rPr>
              <w:t xml:space="preserve">νώ </w:t>
            </w:r>
            <w:r w:rsidR="00422B55">
              <w:rPr>
                <w:sz w:val="20"/>
                <w:szCs w:val="20"/>
              </w:rPr>
              <w:t>το προ φόρων αποτέλεσμα σ</w:t>
            </w:r>
            <w:r>
              <w:rPr>
                <w:sz w:val="20"/>
                <w:szCs w:val="20"/>
              </w:rPr>
              <w:t>ε ε</w:t>
            </w:r>
            <w:r w:rsidRPr="00C136EE">
              <w:rPr>
                <w:sz w:val="20"/>
                <w:szCs w:val="20"/>
              </w:rPr>
              <w:t xml:space="preserve">παναλαμβανόμενη βάση </w:t>
            </w:r>
            <w:r w:rsidR="00422B55">
              <w:rPr>
                <w:sz w:val="20"/>
                <w:szCs w:val="20"/>
              </w:rPr>
              <w:t xml:space="preserve">ανήλθε σε κέρδη </w:t>
            </w:r>
            <w:r w:rsidRPr="00C136EE">
              <w:rPr>
                <w:sz w:val="20"/>
                <w:szCs w:val="20"/>
              </w:rPr>
              <w:t>€</w:t>
            </w:r>
            <w:r>
              <w:rPr>
                <w:sz w:val="20"/>
                <w:szCs w:val="20"/>
              </w:rPr>
              <w:t>267</w:t>
            </w:r>
            <w:r w:rsidRPr="00C136EE">
              <w:rPr>
                <w:sz w:val="20"/>
                <w:szCs w:val="20"/>
              </w:rPr>
              <w:t xml:space="preserve"> εκατ. Το καθαρό αποτέλεσμα του Ομίλου ανήλθε σε ζημία €2</w:t>
            </w:r>
            <w:r>
              <w:rPr>
                <w:sz w:val="20"/>
                <w:szCs w:val="20"/>
              </w:rPr>
              <w:t>,0</w:t>
            </w:r>
            <w:r w:rsidRPr="00C136EE">
              <w:rPr>
                <w:sz w:val="20"/>
                <w:szCs w:val="20"/>
              </w:rPr>
              <w:t xml:space="preserve"> </w:t>
            </w:r>
            <w:r>
              <w:rPr>
                <w:sz w:val="20"/>
                <w:szCs w:val="20"/>
              </w:rPr>
              <w:t>δισ</w:t>
            </w:r>
            <w:r w:rsidRPr="00C136EE">
              <w:rPr>
                <w:sz w:val="20"/>
                <w:szCs w:val="20"/>
              </w:rPr>
              <w:t>.</w:t>
            </w:r>
            <w:r>
              <w:rPr>
                <w:sz w:val="20"/>
                <w:szCs w:val="20"/>
              </w:rPr>
              <w:t xml:space="preserve"> το 2</w:t>
            </w:r>
            <w:r w:rsidRPr="00F14D78">
              <w:rPr>
                <w:sz w:val="20"/>
                <w:szCs w:val="20"/>
                <w:vertAlign w:val="superscript"/>
              </w:rPr>
              <w:t>ο</w:t>
            </w:r>
            <w:r>
              <w:rPr>
                <w:sz w:val="20"/>
                <w:szCs w:val="20"/>
              </w:rPr>
              <w:t xml:space="preserve"> 3μηνο 2021</w:t>
            </w:r>
            <w:r w:rsidRPr="00C136EE">
              <w:rPr>
                <w:sz w:val="20"/>
                <w:szCs w:val="20"/>
              </w:rPr>
              <w:t xml:space="preserve">, </w:t>
            </w:r>
            <w:r>
              <w:rPr>
                <w:sz w:val="20"/>
                <w:szCs w:val="20"/>
              </w:rPr>
              <w:t xml:space="preserve">ενώ σε επαναλαμβανόμενη βάση, το αντίστοιχο </w:t>
            </w:r>
            <w:r w:rsidR="00422B55">
              <w:rPr>
                <w:sz w:val="20"/>
                <w:szCs w:val="20"/>
              </w:rPr>
              <w:t>αποτέλεσμα</w:t>
            </w:r>
            <w:r>
              <w:rPr>
                <w:sz w:val="20"/>
                <w:szCs w:val="20"/>
              </w:rPr>
              <w:t xml:space="preserve"> ήταν </w:t>
            </w:r>
            <w:r w:rsidR="0013797D">
              <w:rPr>
                <w:sz w:val="20"/>
                <w:szCs w:val="20"/>
              </w:rPr>
              <w:t>κερδοφόρο κατά</w:t>
            </w:r>
            <w:r>
              <w:rPr>
                <w:sz w:val="20"/>
                <w:szCs w:val="20"/>
              </w:rPr>
              <w:t xml:space="preserve"> €0,2 δισ.</w:t>
            </w:r>
            <w:r w:rsidRPr="00C136EE">
              <w:rPr>
                <w:sz w:val="20"/>
                <w:szCs w:val="20"/>
              </w:rPr>
              <w:t xml:space="preserve">  </w:t>
            </w:r>
          </w:p>
        </w:tc>
      </w:tr>
    </w:tbl>
    <w:p w14:paraId="659F9B20" w14:textId="77777777" w:rsidR="00F34850" w:rsidRPr="00C136EE" w:rsidRDefault="00F34850" w:rsidP="005C3EEF">
      <w:pPr>
        <w:ind w:left="-1440"/>
        <w:rPr>
          <w:rFonts w:eastAsia="Times New Roman" w:cs="Calibri"/>
          <w:b/>
          <w:i/>
          <w:color w:val="FF0000"/>
          <w:sz w:val="25"/>
          <w:szCs w:val="25"/>
        </w:rPr>
      </w:pPr>
    </w:p>
    <w:p w14:paraId="370F18BB" w14:textId="77777777" w:rsidR="006729F8" w:rsidRPr="00C136EE" w:rsidRDefault="006729F8" w:rsidP="005C3EEF">
      <w:pPr>
        <w:ind w:left="-1440"/>
        <w:rPr>
          <w:rFonts w:eastAsia="Times New Roman" w:cs="Calibri"/>
          <w:b/>
          <w:i/>
          <w:color w:val="FF0000"/>
          <w:sz w:val="25"/>
          <w:szCs w:val="25"/>
        </w:rPr>
      </w:pPr>
    </w:p>
    <w:p w14:paraId="59348C4F" w14:textId="77777777" w:rsidR="00B85CEC" w:rsidRPr="00C136EE" w:rsidRDefault="00B85CEC">
      <w:pPr>
        <w:rPr>
          <w:rFonts w:eastAsia="Times New Roman" w:cs="Calibri"/>
          <w:b/>
          <w:i/>
          <w:color w:val="FF0000"/>
          <w:sz w:val="25"/>
          <w:szCs w:val="25"/>
        </w:rPr>
      </w:pPr>
      <w:r w:rsidRPr="00C136EE">
        <w:rPr>
          <w:rFonts w:eastAsia="Times New Roman" w:cs="Calibri"/>
          <w:b/>
          <w:i/>
          <w:color w:val="FF0000"/>
          <w:sz w:val="25"/>
          <w:szCs w:val="25"/>
        </w:rPr>
        <w:br w:type="page"/>
      </w:r>
    </w:p>
    <w:p w14:paraId="66AA9AE6" w14:textId="73B4610F" w:rsidR="00C94270" w:rsidRDefault="00C94270" w:rsidP="0013797D">
      <w:pPr>
        <w:pStyle w:val="1"/>
        <w:spacing w:after="0" w:line="240" w:lineRule="auto"/>
        <w:ind w:left="-567" w:hanging="142"/>
        <w:jc w:val="right"/>
        <w:rPr>
          <w:rStyle w:val="10"/>
          <w:rFonts w:eastAsia="Times New Roman" w:cs="Calibri"/>
          <w:b/>
          <w:i/>
          <w:color w:val="6691AB"/>
          <w:sz w:val="27"/>
          <w:szCs w:val="27"/>
        </w:rPr>
      </w:pPr>
      <w:r>
        <w:rPr>
          <w:rStyle w:val="10"/>
          <w:rFonts w:eastAsia="Times New Roman" w:cs="Calibri"/>
          <w:b/>
          <w:i/>
          <w:color w:val="6691AB"/>
          <w:sz w:val="27"/>
          <w:szCs w:val="27"/>
        </w:rPr>
        <w:lastRenderedPageBreak/>
        <w:t>Βασικά Στοιχεία Ισολογισμού:</w:t>
      </w:r>
      <w:r w:rsidR="00C75F09">
        <w:rPr>
          <w:rStyle w:val="10"/>
          <w:rFonts w:eastAsia="Times New Roman" w:cs="Calibri"/>
          <w:b/>
          <w:i/>
          <w:color w:val="6691AB"/>
          <w:sz w:val="27"/>
          <w:szCs w:val="27"/>
        </w:rPr>
        <w:t xml:space="preserve"> </w:t>
      </w:r>
      <w:r w:rsidR="00EC297E" w:rsidRPr="0013797D">
        <w:rPr>
          <w:rStyle w:val="10"/>
          <w:rFonts w:eastAsia="Times New Roman" w:cs="Calibri"/>
          <w:b/>
          <w:i/>
          <w:color w:val="6691AB"/>
          <w:sz w:val="27"/>
          <w:szCs w:val="27"/>
        </w:rPr>
        <w:t>Ενίσχυση Πελατειακών Κεφαλαίων</w:t>
      </w:r>
    </w:p>
    <w:p w14:paraId="78335A16" w14:textId="77777777" w:rsidR="00622982" w:rsidRDefault="00622982" w:rsidP="00622982">
      <w:pPr>
        <w:pStyle w:val="1"/>
        <w:spacing w:after="0" w:line="240" w:lineRule="auto"/>
        <w:ind w:left="-567" w:hanging="142"/>
        <w:jc w:val="right"/>
      </w:pPr>
    </w:p>
    <w:tbl>
      <w:tblPr>
        <w:tblStyle w:val="TableGrid"/>
        <w:tblW w:w="0" w:type="auto"/>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7105"/>
      </w:tblGrid>
      <w:tr w:rsidR="007C6465" w:rsidRPr="00622982" w14:paraId="22B8616A" w14:textId="77777777" w:rsidTr="00603A42">
        <w:tc>
          <w:tcPr>
            <w:tcW w:w="1960" w:type="dxa"/>
          </w:tcPr>
          <w:p w14:paraId="4E7BAE79" w14:textId="77777777" w:rsidR="00622982" w:rsidRPr="00622982" w:rsidRDefault="00622982" w:rsidP="00086F97">
            <w:pPr>
              <w:tabs>
                <w:tab w:val="left" w:pos="8262"/>
              </w:tabs>
              <w:spacing w:after="60"/>
              <w:ind w:right="74"/>
              <w:contextualSpacing/>
              <w:rPr>
                <w:rFonts w:eastAsiaTheme="minorEastAsia" w:cs="Calibri"/>
                <w:i/>
                <w:color w:val="6691AB"/>
                <w:spacing w:val="-10"/>
              </w:rPr>
            </w:pPr>
            <w:r w:rsidRPr="00622982">
              <w:rPr>
                <w:rFonts w:eastAsiaTheme="minorEastAsia" w:cs="Calibri"/>
                <w:i/>
                <w:color w:val="6691AB"/>
                <w:spacing w:val="-10"/>
              </w:rPr>
              <w:t>Αύξηση καταθέσεων +12% ετησίως με χαμηλότερο κόστος</w:t>
            </w:r>
          </w:p>
          <w:p w14:paraId="12F429E5" w14:textId="1C644A1B" w:rsidR="007C6465" w:rsidRPr="00622982" w:rsidRDefault="007C6465" w:rsidP="00086F97">
            <w:pPr>
              <w:tabs>
                <w:tab w:val="left" w:pos="8262"/>
              </w:tabs>
              <w:spacing w:after="60"/>
              <w:ind w:right="74"/>
              <w:contextualSpacing/>
              <w:rPr>
                <w:rFonts w:eastAsiaTheme="minorEastAsia" w:cs="Calibri"/>
                <w:i/>
                <w:color w:val="FF0000"/>
              </w:rPr>
            </w:pPr>
          </w:p>
        </w:tc>
        <w:tc>
          <w:tcPr>
            <w:tcW w:w="7105" w:type="dxa"/>
          </w:tcPr>
          <w:p w14:paraId="1DBDE6B8" w14:textId="77777777" w:rsidR="00E528DC" w:rsidRPr="00AA399B" w:rsidRDefault="00E528DC" w:rsidP="00E528DC">
            <w:pPr>
              <w:tabs>
                <w:tab w:val="left" w:pos="8262"/>
              </w:tabs>
              <w:spacing w:after="80" w:line="240" w:lineRule="exact"/>
              <w:jc w:val="both"/>
              <w:rPr>
                <w:sz w:val="20"/>
                <w:szCs w:val="20"/>
              </w:rPr>
            </w:pPr>
            <w:r w:rsidRPr="00AA399B">
              <w:rPr>
                <w:sz w:val="20"/>
                <w:szCs w:val="20"/>
              </w:rPr>
              <w:t>Οι καταθέσεις πελατών ανήλθαν σε €51,2 δισ. στο τέλος Ιουνίου 2021, αυξημένες κατά 12% σε ετήσια βάση, ξεπερνώντας το επίπεδο προ κρίσης. Το κόστος καταθέσεων συνέχισε να μειώνεται και διαμορφώθηκε στις 9μ.β. έναντι 10μ.β. το 1</w:t>
            </w:r>
            <w:r w:rsidRPr="00AA399B">
              <w:rPr>
                <w:sz w:val="20"/>
                <w:szCs w:val="20"/>
                <w:vertAlign w:val="superscript"/>
              </w:rPr>
              <w:t>ο</w:t>
            </w:r>
            <w:r w:rsidRPr="00AA399B">
              <w:rPr>
                <w:sz w:val="20"/>
                <w:szCs w:val="20"/>
              </w:rPr>
              <w:t xml:space="preserve"> 3μηνο 2021 και </w:t>
            </w:r>
            <w:r>
              <w:rPr>
                <w:sz w:val="20"/>
                <w:szCs w:val="20"/>
              </w:rPr>
              <w:t>20</w:t>
            </w:r>
            <w:r w:rsidRPr="00AA399B">
              <w:rPr>
                <w:sz w:val="20"/>
                <w:szCs w:val="20"/>
              </w:rPr>
              <w:t xml:space="preserve">μ.β. το </w:t>
            </w:r>
            <w:r>
              <w:rPr>
                <w:sz w:val="20"/>
                <w:szCs w:val="20"/>
              </w:rPr>
              <w:t>2</w:t>
            </w:r>
            <w:r w:rsidRPr="00AA399B">
              <w:rPr>
                <w:sz w:val="20"/>
                <w:szCs w:val="20"/>
                <w:vertAlign w:val="superscript"/>
              </w:rPr>
              <w:t>ο</w:t>
            </w:r>
            <w:r w:rsidRPr="00AA399B">
              <w:rPr>
                <w:sz w:val="20"/>
                <w:szCs w:val="20"/>
              </w:rPr>
              <w:t xml:space="preserve"> 3μηνο 2020.</w:t>
            </w:r>
          </w:p>
          <w:p w14:paraId="2FBDE2F3" w14:textId="77771976" w:rsidR="007C6465" w:rsidRPr="00622982" w:rsidRDefault="007C6465" w:rsidP="00086F97">
            <w:pPr>
              <w:tabs>
                <w:tab w:val="left" w:pos="8262"/>
              </w:tabs>
              <w:spacing w:after="80" w:line="240" w:lineRule="exact"/>
              <w:jc w:val="both"/>
              <w:rPr>
                <w:color w:val="FF0000"/>
                <w:sz w:val="20"/>
                <w:szCs w:val="20"/>
              </w:rPr>
            </w:pPr>
          </w:p>
        </w:tc>
      </w:tr>
      <w:tr w:rsidR="007C6465" w:rsidRPr="00F41D49" w14:paraId="6D1C3B6C" w14:textId="77777777" w:rsidTr="00603A42">
        <w:tc>
          <w:tcPr>
            <w:tcW w:w="1960" w:type="dxa"/>
          </w:tcPr>
          <w:p w14:paraId="167DF0E2" w14:textId="7F3E9EAF" w:rsidR="007C6465" w:rsidRPr="00F41D49" w:rsidRDefault="00F41D49" w:rsidP="00D07C81">
            <w:pPr>
              <w:tabs>
                <w:tab w:val="left" w:pos="8262"/>
              </w:tabs>
              <w:spacing w:after="60"/>
              <w:ind w:left="32" w:right="-131"/>
              <w:contextualSpacing/>
              <w:rPr>
                <w:rFonts w:cs="Calibri"/>
                <w:i/>
                <w:color w:val="FF0000"/>
              </w:rPr>
            </w:pPr>
            <w:r w:rsidRPr="00F41D49">
              <w:rPr>
                <w:rFonts w:eastAsiaTheme="minorEastAsia" w:cs="Calibri"/>
                <w:i/>
                <w:color w:val="6691AB"/>
              </w:rPr>
              <w:t>Ισχυρό προφίλ ρευστότητας και χρηματοδότησης</w:t>
            </w:r>
          </w:p>
        </w:tc>
        <w:tc>
          <w:tcPr>
            <w:tcW w:w="7105" w:type="dxa"/>
          </w:tcPr>
          <w:p w14:paraId="7B8CCD56" w14:textId="36625AD7" w:rsidR="00E528DC" w:rsidRPr="00453B0E" w:rsidRDefault="00E528DC" w:rsidP="00E528DC">
            <w:pPr>
              <w:tabs>
                <w:tab w:val="left" w:pos="8262"/>
              </w:tabs>
              <w:spacing w:after="80" w:line="240" w:lineRule="exact"/>
              <w:jc w:val="both"/>
              <w:rPr>
                <w:sz w:val="20"/>
                <w:szCs w:val="20"/>
              </w:rPr>
            </w:pPr>
            <w:r w:rsidRPr="00453B0E">
              <w:rPr>
                <w:sz w:val="20"/>
                <w:szCs w:val="20"/>
              </w:rPr>
              <w:t>Η χρηματοδότηση από το Ευρωσύστημα διαμορφώθηκε σε €13,5 δισ. στο τέλος Ιουνίου 2021, αυξημένη σε σχέση με τα €11</w:t>
            </w:r>
            <w:r w:rsidRPr="00800302">
              <w:rPr>
                <w:sz w:val="20"/>
                <w:szCs w:val="20"/>
              </w:rPr>
              <w:t xml:space="preserve">,0 </w:t>
            </w:r>
            <w:r w:rsidRPr="00453B0E">
              <w:rPr>
                <w:sz w:val="20"/>
                <w:szCs w:val="20"/>
              </w:rPr>
              <w:t xml:space="preserve">δισ. </w:t>
            </w:r>
            <w:r w:rsidR="00EC297E">
              <w:rPr>
                <w:sz w:val="20"/>
                <w:szCs w:val="20"/>
              </w:rPr>
              <w:t>τέλη</w:t>
            </w:r>
            <w:r w:rsidRPr="00800302">
              <w:rPr>
                <w:sz w:val="20"/>
                <w:szCs w:val="20"/>
              </w:rPr>
              <w:t xml:space="preserve"> </w:t>
            </w:r>
            <w:r w:rsidRPr="00453B0E">
              <w:rPr>
                <w:sz w:val="20"/>
                <w:szCs w:val="20"/>
              </w:rPr>
              <w:t>Μ</w:t>
            </w:r>
            <w:r w:rsidRPr="00800302">
              <w:rPr>
                <w:sz w:val="20"/>
                <w:szCs w:val="20"/>
              </w:rPr>
              <w:t>α</w:t>
            </w:r>
            <w:r w:rsidRPr="00453B0E">
              <w:rPr>
                <w:sz w:val="20"/>
                <w:szCs w:val="20"/>
              </w:rPr>
              <w:t>ρτ</w:t>
            </w:r>
            <w:r w:rsidRPr="00800302">
              <w:rPr>
                <w:sz w:val="20"/>
                <w:szCs w:val="20"/>
              </w:rPr>
              <w:t>ίου 2021, λόγω της αύξησης</w:t>
            </w:r>
            <w:r w:rsidRPr="00453B0E">
              <w:rPr>
                <w:sz w:val="20"/>
                <w:szCs w:val="20"/>
              </w:rPr>
              <w:t xml:space="preserve"> </w:t>
            </w:r>
            <w:r w:rsidRPr="00453B0E">
              <w:rPr>
                <w:sz w:val="20"/>
                <w:szCs w:val="20"/>
                <w:lang w:val="en-US"/>
              </w:rPr>
              <w:t>TLTRO</w:t>
            </w:r>
            <w:r w:rsidRPr="00453B0E">
              <w:rPr>
                <w:sz w:val="20"/>
                <w:szCs w:val="20"/>
              </w:rPr>
              <w:t xml:space="preserve"> </w:t>
            </w:r>
            <w:r w:rsidRPr="00453B0E">
              <w:rPr>
                <w:sz w:val="20"/>
                <w:szCs w:val="20"/>
                <w:lang w:val="en-US"/>
              </w:rPr>
              <w:t>III</w:t>
            </w:r>
            <w:r w:rsidRPr="00453B0E">
              <w:rPr>
                <w:sz w:val="20"/>
                <w:szCs w:val="20"/>
              </w:rPr>
              <w:t xml:space="preserve"> </w:t>
            </w:r>
            <w:r w:rsidRPr="00800302">
              <w:rPr>
                <w:sz w:val="20"/>
                <w:szCs w:val="20"/>
              </w:rPr>
              <w:t>στη δημοπρασία του Ιουνίου</w:t>
            </w:r>
            <w:r w:rsidRPr="00453B0E">
              <w:rPr>
                <w:sz w:val="20"/>
                <w:szCs w:val="20"/>
              </w:rPr>
              <w:t>. Ο Όμιλος Πειραιώς βελτίωσε περαιτέρω τον δείκτη κάλυψης ρευστότητας (</w:t>
            </w:r>
            <w:r w:rsidRPr="00453B0E">
              <w:rPr>
                <w:sz w:val="20"/>
                <w:szCs w:val="20"/>
                <w:lang w:val="en-US"/>
              </w:rPr>
              <w:t>LCR</w:t>
            </w:r>
            <w:r w:rsidRPr="00453B0E">
              <w:rPr>
                <w:sz w:val="20"/>
                <w:szCs w:val="20"/>
              </w:rPr>
              <w:t xml:space="preserve">) στο επίπεδο του </w:t>
            </w:r>
            <w:r w:rsidRPr="00800302">
              <w:rPr>
                <w:sz w:val="20"/>
                <w:szCs w:val="20"/>
              </w:rPr>
              <w:t>210</w:t>
            </w:r>
            <w:r w:rsidRPr="00453B0E">
              <w:rPr>
                <w:sz w:val="20"/>
                <w:szCs w:val="20"/>
              </w:rPr>
              <w:t xml:space="preserve">%. Το ισχυρό προφίλ ρευστότητας του Ομίλου αντικατοπτρίζεται στον δείκτη δανείων μετά από προβλέψεις προς καταθέσεις, ο οποίος </w:t>
            </w:r>
            <w:r w:rsidR="00EC297E">
              <w:rPr>
                <w:sz w:val="20"/>
                <w:szCs w:val="20"/>
              </w:rPr>
              <w:t>βελτιώθηκε</w:t>
            </w:r>
            <w:r>
              <w:rPr>
                <w:sz w:val="20"/>
                <w:szCs w:val="20"/>
              </w:rPr>
              <w:t xml:space="preserve"> σε</w:t>
            </w:r>
            <w:r w:rsidRPr="00453B0E">
              <w:rPr>
                <w:sz w:val="20"/>
                <w:szCs w:val="20"/>
              </w:rPr>
              <w:t xml:space="preserve"> </w:t>
            </w:r>
            <w:r>
              <w:rPr>
                <w:sz w:val="20"/>
                <w:szCs w:val="20"/>
              </w:rPr>
              <w:t>65</w:t>
            </w:r>
            <w:r w:rsidRPr="00453B0E">
              <w:rPr>
                <w:sz w:val="20"/>
                <w:szCs w:val="20"/>
              </w:rPr>
              <w:t xml:space="preserve">% </w:t>
            </w:r>
            <w:r>
              <w:rPr>
                <w:sz w:val="20"/>
                <w:szCs w:val="20"/>
              </w:rPr>
              <w:t>στο τέλος Ιουνίου 2021</w:t>
            </w:r>
            <w:r w:rsidRPr="00453B0E">
              <w:rPr>
                <w:sz w:val="20"/>
                <w:szCs w:val="20"/>
              </w:rPr>
              <w:t>.</w:t>
            </w:r>
          </w:p>
          <w:p w14:paraId="19264B1C" w14:textId="5BC535E8" w:rsidR="007664C0" w:rsidRPr="00F41D49" w:rsidRDefault="007664C0" w:rsidP="00086F97">
            <w:pPr>
              <w:tabs>
                <w:tab w:val="left" w:pos="8262"/>
              </w:tabs>
              <w:spacing w:after="80" w:line="240" w:lineRule="exact"/>
              <w:jc w:val="both"/>
              <w:rPr>
                <w:color w:val="FF0000"/>
                <w:sz w:val="20"/>
                <w:szCs w:val="20"/>
              </w:rPr>
            </w:pPr>
          </w:p>
        </w:tc>
      </w:tr>
      <w:tr w:rsidR="007C6465" w:rsidRPr="00F41D49" w14:paraId="3A5C780C" w14:textId="77777777" w:rsidTr="00603A42">
        <w:tc>
          <w:tcPr>
            <w:tcW w:w="1960" w:type="dxa"/>
          </w:tcPr>
          <w:p w14:paraId="6F209EA9" w14:textId="03A76B41" w:rsidR="007C6465" w:rsidRPr="008A6787" w:rsidRDefault="00EC297E" w:rsidP="0013797D">
            <w:pPr>
              <w:tabs>
                <w:tab w:val="left" w:pos="8262"/>
              </w:tabs>
              <w:spacing w:after="60"/>
              <w:ind w:left="32" w:right="74"/>
              <w:contextualSpacing/>
              <w:rPr>
                <w:rFonts w:eastAsiaTheme="minorEastAsia" w:cs="Calibri"/>
                <w:i/>
                <w:color w:val="6691AB"/>
                <w:lang w:val="en-US"/>
              </w:rPr>
            </w:pPr>
            <w:r>
              <w:rPr>
                <w:rFonts w:eastAsiaTheme="minorEastAsia" w:cs="Calibri"/>
                <w:i/>
                <w:color w:val="6691AB"/>
              </w:rPr>
              <w:t>Α</w:t>
            </w:r>
            <w:r w:rsidR="0013797D">
              <w:rPr>
                <w:rFonts w:eastAsiaTheme="minorEastAsia" w:cs="Calibri"/>
                <w:i/>
                <w:color w:val="6691AB"/>
              </w:rPr>
              <w:t>ύ</w:t>
            </w:r>
            <w:r>
              <w:rPr>
                <w:rFonts w:eastAsiaTheme="minorEastAsia" w:cs="Calibri"/>
                <w:i/>
                <w:color w:val="6691AB"/>
              </w:rPr>
              <w:t xml:space="preserve">ξηση </w:t>
            </w:r>
            <w:r w:rsidR="00E528DC" w:rsidRPr="00F41D49">
              <w:rPr>
                <w:rFonts w:eastAsiaTheme="minorEastAsia" w:cs="Calibri"/>
                <w:i/>
                <w:color w:val="6691AB"/>
                <w:lang w:val="en-US"/>
              </w:rPr>
              <w:t xml:space="preserve"> των εξυπηρετούμενων δανείων</w:t>
            </w:r>
          </w:p>
        </w:tc>
        <w:tc>
          <w:tcPr>
            <w:tcW w:w="7105" w:type="dxa"/>
          </w:tcPr>
          <w:p w14:paraId="53D37C6A" w14:textId="0A1A4EA3" w:rsidR="00E528DC" w:rsidRPr="00E528DC" w:rsidRDefault="00E528DC" w:rsidP="00E528DC">
            <w:pPr>
              <w:tabs>
                <w:tab w:val="left" w:pos="8262"/>
              </w:tabs>
              <w:spacing w:after="80" w:line="240" w:lineRule="exact"/>
              <w:jc w:val="both"/>
              <w:rPr>
                <w:sz w:val="20"/>
                <w:szCs w:val="20"/>
              </w:rPr>
            </w:pPr>
            <w:r w:rsidRPr="00E528DC">
              <w:rPr>
                <w:sz w:val="20"/>
                <w:szCs w:val="20"/>
              </w:rPr>
              <w:t xml:space="preserve">Τα δάνεια προ προβλέψεων και απομειώσεων ανήλθαν σε €36,6 δισ. έναντι €47,9 δισ. </w:t>
            </w:r>
            <w:r w:rsidR="00EC297E">
              <w:rPr>
                <w:sz w:val="20"/>
                <w:szCs w:val="20"/>
              </w:rPr>
              <w:t>τέλη</w:t>
            </w:r>
            <w:r w:rsidRPr="00E528DC">
              <w:rPr>
                <w:sz w:val="20"/>
                <w:szCs w:val="20"/>
              </w:rPr>
              <w:t xml:space="preserve"> Μαρτίου 2021 λόγω της </w:t>
            </w:r>
            <w:r w:rsidR="00EC297E">
              <w:rPr>
                <w:sz w:val="20"/>
                <w:szCs w:val="20"/>
              </w:rPr>
              <w:t>αποαναγνώρισης</w:t>
            </w:r>
            <w:r w:rsidRPr="00E528DC">
              <w:rPr>
                <w:sz w:val="20"/>
                <w:szCs w:val="20"/>
              </w:rPr>
              <w:t xml:space="preserve"> των περιμέτρων NPE</w:t>
            </w:r>
            <w:r w:rsidR="00EC297E">
              <w:rPr>
                <w:sz w:val="20"/>
                <w:szCs w:val="20"/>
                <w:lang w:val="en-US"/>
              </w:rPr>
              <w:t>s</w:t>
            </w:r>
            <w:r w:rsidRPr="00E528DC">
              <w:rPr>
                <w:sz w:val="20"/>
                <w:szCs w:val="20"/>
              </w:rPr>
              <w:t xml:space="preserve"> Phoenix και Vega. Παράλληλα</w:t>
            </w:r>
            <w:r w:rsidR="0013797D">
              <w:rPr>
                <w:sz w:val="20"/>
                <w:szCs w:val="20"/>
              </w:rPr>
              <w:t>,</w:t>
            </w:r>
            <w:r w:rsidRPr="00E528DC">
              <w:rPr>
                <w:sz w:val="20"/>
                <w:szCs w:val="20"/>
              </w:rPr>
              <w:t xml:space="preserve"> κατά τη διάρκεια του 2ου 3μήνου 2021 πραγματοποιήθηκε η κατηγοριοποίηση της περιμέτρου NPE Sunrise 1 ως διακρατούμενη προς πώληση. Τα δάνεια μετά από προβλέψεις του Ομίλου ανήλθαν σε €33,2 δι</w:t>
            </w:r>
            <w:r w:rsidR="0013797D">
              <w:rPr>
                <w:sz w:val="20"/>
                <w:szCs w:val="20"/>
              </w:rPr>
              <w:t>σ</w:t>
            </w:r>
            <w:r w:rsidRPr="00E528DC">
              <w:rPr>
                <w:sz w:val="20"/>
                <w:szCs w:val="20"/>
              </w:rPr>
              <w:t>. στις 30 Ιουνίου 2021. Οι εκταμιεύσεις νέων δανείων ανήλθαν σε €3,4 δισ. το 1ο 6μηνο 2021, αποτυπώνοντας την πιστωτική ζήτηση κυρίως από επιχειρήσεις (</w:t>
            </w:r>
            <w:r w:rsidR="00EC297E">
              <w:rPr>
                <w:sz w:val="20"/>
                <w:szCs w:val="20"/>
              </w:rPr>
              <w:t>μ</w:t>
            </w:r>
            <w:r w:rsidRPr="00E528DC">
              <w:rPr>
                <w:sz w:val="20"/>
                <w:szCs w:val="20"/>
              </w:rPr>
              <w:t>εγάλες επιχειρήσεις</w:t>
            </w:r>
            <w:r w:rsidR="00EC297E">
              <w:rPr>
                <w:sz w:val="20"/>
                <w:szCs w:val="20"/>
              </w:rPr>
              <w:t xml:space="preserve">, μεσαίες και </w:t>
            </w:r>
            <w:r w:rsidRPr="00E528DC">
              <w:rPr>
                <w:sz w:val="20"/>
                <w:szCs w:val="20"/>
              </w:rPr>
              <w:t>μικρές επιχειρήσεις).</w:t>
            </w:r>
          </w:p>
          <w:p w14:paraId="5BD2A04C" w14:textId="77777777" w:rsidR="008A6787" w:rsidRPr="00F41D49" w:rsidRDefault="008A6787" w:rsidP="008A6787">
            <w:pPr>
              <w:tabs>
                <w:tab w:val="left" w:pos="8262"/>
              </w:tabs>
              <w:spacing w:after="60"/>
              <w:ind w:left="32" w:right="74"/>
              <w:contextualSpacing/>
              <w:rPr>
                <w:rFonts w:eastAsiaTheme="minorEastAsia" w:cs="Calibri"/>
                <w:i/>
                <w:color w:val="6691AB"/>
                <w:sz w:val="20"/>
                <w:szCs w:val="20"/>
              </w:rPr>
            </w:pPr>
          </w:p>
        </w:tc>
      </w:tr>
      <w:tr w:rsidR="007C6465" w:rsidRPr="00F41D49" w14:paraId="5677B441" w14:textId="77777777" w:rsidTr="00603A42">
        <w:tc>
          <w:tcPr>
            <w:tcW w:w="1960" w:type="dxa"/>
          </w:tcPr>
          <w:p w14:paraId="3CC9AA5A" w14:textId="458F6471" w:rsidR="007C6465" w:rsidRPr="00F41D49" w:rsidRDefault="00603A42" w:rsidP="00F41D49">
            <w:pPr>
              <w:tabs>
                <w:tab w:val="left" w:pos="8262"/>
              </w:tabs>
              <w:spacing w:after="60"/>
              <w:ind w:left="32" w:right="-11"/>
              <w:contextualSpacing/>
              <w:rPr>
                <w:rFonts w:eastAsiaTheme="minorEastAsia" w:cs="Calibri"/>
                <w:i/>
                <w:color w:val="6691AB"/>
              </w:rPr>
            </w:pPr>
            <w:r w:rsidRPr="005E029D">
              <w:rPr>
                <w:rFonts w:eastAsiaTheme="minorEastAsia" w:cs="Calibri"/>
                <w:i/>
                <w:color w:val="6691AB"/>
              </w:rPr>
              <w:t>Επιτάχυνση της μείωσης των ληξ</w:t>
            </w:r>
            <w:r>
              <w:rPr>
                <w:rFonts w:eastAsiaTheme="minorEastAsia" w:cs="Calibri"/>
                <w:i/>
                <w:color w:val="6691AB"/>
              </w:rPr>
              <w:t>ι</w:t>
            </w:r>
            <w:r w:rsidRPr="005E029D">
              <w:rPr>
                <w:rFonts w:eastAsiaTheme="minorEastAsia" w:cs="Calibri"/>
                <w:i/>
                <w:color w:val="6691AB"/>
              </w:rPr>
              <w:t>πρόθεσμων δανείων (</w:t>
            </w:r>
            <w:r w:rsidRPr="005E029D">
              <w:rPr>
                <w:rFonts w:eastAsiaTheme="minorEastAsia" w:cs="Calibri"/>
                <w:i/>
                <w:color w:val="6691AB"/>
                <w:lang w:val="en-US"/>
              </w:rPr>
              <w:t>NPEs</w:t>
            </w:r>
            <w:r w:rsidRPr="005E029D">
              <w:rPr>
                <w:rFonts w:eastAsiaTheme="minorEastAsia" w:cs="Calibri"/>
                <w:i/>
                <w:color w:val="6691AB"/>
              </w:rPr>
              <w:t>)</w:t>
            </w:r>
          </w:p>
        </w:tc>
        <w:tc>
          <w:tcPr>
            <w:tcW w:w="7105" w:type="dxa"/>
          </w:tcPr>
          <w:p w14:paraId="583F84D6" w14:textId="0C9232C0" w:rsidR="00603A42" w:rsidRPr="005A426D" w:rsidRDefault="00603A42" w:rsidP="00603A42">
            <w:pPr>
              <w:tabs>
                <w:tab w:val="left" w:pos="8262"/>
              </w:tabs>
              <w:spacing w:after="80" w:line="240" w:lineRule="exact"/>
              <w:jc w:val="both"/>
              <w:rPr>
                <w:sz w:val="20"/>
                <w:szCs w:val="20"/>
              </w:rPr>
            </w:pPr>
            <w:r w:rsidRPr="005A426D">
              <w:rPr>
                <w:sz w:val="20"/>
                <w:szCs w:val="20"/>
              </w:rPr>
              <w:t xml:space="preserve">Το απόθεμα των </w:t>
            </w:r>
            <w:r w:rsidRPr="005A426D">
              <w:rPr>
                <w:sz w:val="20"/>
                <w:szCs w:val="20"/>
                <w:lang w:val="en-US"/>
              </w:rPr>
              <w:t>NPEs</w:t>
            </w:r>
            <w:r w:rsidRPr="005A426D">
              <w:rPr>
                <w:sz w:val="20"/>
                <w:szCs w:val="20"/>
              </w:rPr>
              <w:t xml:space="preserve"> μειώθηκε στα €9 δισ. στο τέλος Ιουνίου 2021 έναντι €22,5 δισ. στο τέλος </w:t>
            </w:r>
            <w:r>
              <w:rPr>
                <w:sz w:val="20"/>
                <w:szCs w:val="20"/>
              </w:rPr>
              <w:t>του</w:t>
            </w:r>
            <w:r w:rsidRPr="005A426D">
              <w:rPr>
                <w:sz w:val="20"/>
                <w:szCs w:val="20"/>
              </w:rPr>
              <w:t xml:space="preserve"> 2020. Ο δείκτης </w:t>
            </w:r>
            <w:r w:rsidRPr="005A426D">
              <w:rPr>
                <w:sz w:val="20"/>
                <w:szCs w:val="20"/>
                <w:lang w:val="en-US"/>
              </w:rPr>
              <w:t>NPE</w:t>
            </w:r>
            <w:r w:rsidRPr="005A426D">
              <w:rPr>
                <w:sz w:val="20"/>
                <w:szCs w:val="20"/>
              </w:rPr>
              <w:t xml:space="preserve"> μειώθηκε σημαντικά στο 2</w:t>
            </w:r>
            <w:r>
              <w:rPr>
                <w:sz w:val="20"/>
                <w:szCs w:val="20"/>
              </w:rPr>
              <w:t>3</w:t>
            </w:r>
            <w:r w:rsidRPr="005A426D">
              <w:rPr>
                <w:sz w:val="20"/>
                <w:szCs w:val="20"/>
              </w:rPr>
              <w:t xml:space="preserve">% έναντι 45% στις 31 Δεκεμβρίου 2020, </w:t>
            </w:r>
            <w:r>
              <w:rPr>
                <w:sz w:val="20"/>
                <w:szCs w:val="20"/>
              </w:rPr>
              <w:t>κυρίως λόγω</w:t>
            </w:r>
            <w:r w:rsidRPr="005A426D">
              <w:rPr>
                <w:sz w:val="20"/>
                <w:szCs w:val="20"/>
              </w:rPr>
              <w:t xml:space="preserve"> της αποαναγνώρισης των </w:t>
            </w:r>
            <w:r>
              <w:rPr>
                <w:sz w:val="20"/>
                <w:szCs w:val="20"/>
              </w:rPr>
              <w:t>περιμέτρων</w:t>
            </w:r>
            <w:r w:rsidRPr="005A426D">
              <w:rPr>
                <w:sz w:val="20"/>
                <w:szCs w:val="20"/>
              </w:rPr>
              <w:t xml:space="preserve"> </w:t>
            </w:r>
            <w:r w:rsidRPr="005A426D">
              <w:rPr>
                <w:sz w:val="20"/>
                <w:szCs w:val="20"/>
                <w:lang w:val="en-US"/>
              </w:rPr>
              <w:t>NPE</w:t>
            </w:r>
            <w:r w:rsidRPr="005A426D">
              <w:rPr>
                <w:sz w:val="20"/>
                <w:szCs w:val="20"/>
              </w:rPr>
              <w:t xml:space="preserve"> </w:t>
            </w:r>
            <w:r w:rsidRPr="005A426D">
              <w:rPr>
                <w:sz w:val="20"/>
                <w:szCs w:val="20"/>
                <w:lang w:val="en-US"/>
              </w:rPr>
              <w:t>Phoenix</w:t>
            </w:r>
            <w:r w:rsidRPr="005A426D">
              <w:rPr>
                <w:sz w:val="20"/>
                <w:szCs w:val="20"/>
              </w:rPr>
              <w:t xml:space="preserve"> και </w:t>
            </w:r>
            <w:r w:rsidRPr="005A426D">
              <w:rPr>
                <w:sz w:val="20"/>
                <w:szCs w:val="20"/>
                <w:lang w:val="en-US"/>
              </w:rPr>
              <w:t>Vega</w:t>
            </w:r>
            <w:r w:rsidRPr="005A426D">
              <w:rPr>
                <w:sz w:val="20"/>
                <w:szCs w:val="20"/>
              </w:rPr>
              <w:t xml:space="preserve"> και της κατηγοριοποίησης ως διακρατούμενη</w:t>
            </w:r>
            <w:r>
              <w:rPr>
                <w:sz w:val="20"/>
                <w:szCs w:val="20"/>
              </w:rPr>
              <w:t>ς</w:t>
            </w:r>
            <w:r w:rsidRPr="005A426D">
              <w:rPr>
                <w:sz w:val="20"/>
                <w:szCs w:val="20"/>
              </w:rPr>
              <w:t xml:space="preserve"> προς πώληση της </w:t>
            </w:r>
            <w:r>
              <w:rPr>
                <w:sz w:val="20"/>
                <w:szCs w:val="20"/>
              </w:rPr>
              <w:t>περιμέτρου</w:t>
            </w:r>
            <w:r w:rsidRPr="005A426D">
              <w:rPr>
                <w:sz w:val="20"/>
                <w:szCs w:val="20"/>
              </w:rPr>
              <w:t xml:space="preserve"> </w:t>
            </w:r>
            <w:r w:rsidRPr="005A426D">
              <w:rPr>
                <w:sz w:val="20"/>
                <w:szCs w:val="20"/>
                <w:lang w:val="en-US"/>
              </w:rPr>
              <w:t>NPE</w:t>
            </w:r>
            <w:r w:rsidRPr="005A426D">
              <w:rPr>
                <w:sz w:val="20"/>
                <w:szCs w:val="20"/>
              </w:rPr>
              <w:t xml:space="preserve"> </w:t>
            </w:r>
            <w:r w:rsidRPr="004C18E6">
              <w:rPr>
                <w:sz w:val="20"/>
                <w:szCs w:val="20"/>
                <w:lang w:val="en-US"/>
              </w:rPr>
              <w:t>Sunrise</w:t>
            </w:r>
            <w:r w:rsidRPr="005A426D">
              <w:rPr>
                <w:sz w:val="20"/>
                <w:szCs w:val="20"/>
              </w:rPr>
              <w:t xml:space="preserve"> 1</w:t>
            </w:r>
            <w:r w:rsidRPr="005A426D">
              <w:rPr>
                <w:rFonts w:eastAsiaTheme="minorEastAsia"/>
                <w:sz w:val="20"/>
                <w:szCs w:val="20"/>
              </w:rPr>
              <w:t>, οι οποίες πραγματοποιήθηκαν το 2</w:t>
            </w:r>
            <w:r w:rsidRPr="005A426D">
              <w:rPr>
                <w:rFonts w:eastAsiaTheme="minorEastAsia"/>
                <w:sz w:val="20"/>
                <w:szCs w:val="20"/>
                <w:vertAlign w:val="superscript"/>
              </w:rPr>
              <w:t>ο</w:t>
            </w:r>
            <w:r w:rsidRPr="005A426D">
              <w:rPr>
                <w:rFonts w:eastAsiaTheme="minorEastAsia"/>
                <w:sz w:val="20"/>
                <w:szCs w:val="20"/>
              </w:rPr>
              <w:t xml:space="preserve"> 3μηνο 2021, ύψους €13 δι</w:t>
            </w:r>
            <w:r>
              <w:rPr>
                <w:rFonts w:eastAsiaTheme="minorEastAsia"/>
                <w:sz w:val="20"/>
                <w:szCs w:val="20"/>
              </w:rPr>
              <w:t>σ.</w:t>
            </w:r>
            <w:r w:rsidRPr="005A426D">
              <w:rPr>
                <w:rFonts w:eastAsiaTheme="minorEastAsia"/>
                <w:sz w:val="20"/>
                <w:szCs w:val="20"/>
              </w:rPr>
              <w:t xml:space="preserve"> </w:t>
            </w:r>
            <w:r w:rsidR="0013797D">
              <w:rPr>
                <w:rFonts w:eastAsiaTheme="minorEastAsia"/>
                <w:sz w:val="20"/>
                <w:szCs w:val="20"/>
              </w:rPr>
              <w:t>Για τ</w:t>
            </w:r>
            <w:r>
              <w:rPr>
                <w:rFonts w:eastAsiaTheme="minorEastAsia"/>
                <w:sz w:val="20"/>
                <w:szCs w:val="20"/>
              </w:rPr>
              <w:t>ο 2021</w:t>
            </w:r>
            <w:r w:rsidR="0013797D">
              <w:rPr>
                <w:rFonts w:eastAsiaTheme="minorEastAsia"/>
                <w:sz w:val="20"/>
                <w:szCs w:val="20"/>
              </w:rPr>
              <w:t>,</w:t>
            </w:r>
            <w:r>
              <w:rPr>
                <w:rFonts w:eastAsiaTheme="minorEastAsia"/>
                <w:sz w:val="20"/>
                <w:szCs w:val="20"/>
              </w:rPr>
              <w:t xml:space="preserve"> ο</w:t>
            </w:r>
            <w:r w:rsidRPr="005A426D">
              <w:rPr>
                <w:sz w:val="20"/>
                <w:szCs w:val="20"/>
              </w:rPr>
              <w:t xml:space="preserve">ι πωλήσεις NPE με υπαγωγή στο πρόγραμμα </w:t>
            </w:r>
            <w:r w:rsidR="00EC297E">
              <w:rPr>
                <w:rFonts w:cstheme="minorHAnsi"/>
                <w:sz w:val="20"/>
                <w:szCs w:val="20"/>
              </w:rPr>
              <w:t>«</w:t>
            </w:r>
            <w:r w:rsidR="00EC297E">
              <w:rPr>
                <w:sz w:val="20"/>
                <w:szCs w:val="20"/>
              </w:rPr>
              <w:t>Ηρακλής</w:t>
            </w:r>
            <w:r w:rsidRPr="005A426D">
              <w:rPr>
                <w:sz w:val="20"/>
                <w:szCs w:val="20"/>
              </w:rPr>
              <w:t>, αλλά και οι συναλλαγές NPE εκτός HAPS συνολικού ύψους €19 δισ. βρίσκονται σε τροχιά υλοποίησης</w:t>
            </w:r>
            <w:r w:rsidR="0013797D">
              <w:rPr>
                <w:sz w:val="20"/>
                <w:szCs w:val="20"/>
              </w:rPr>
              <w:t>,</w:t>
            </w:r>
            <w:r w:rsidRPr="005A426D">
              <w:rPr>
                <w:sz w:val="20"/>
                <w:szCs w:val="20"/>
              </w:rPr>
              <w:t xml:space="preserve"> ενώ τα υπόλοιπα έργα αναμέν</w:t>
            </w:r>
            <w:r w:rsidR="00EC297E">
              <w:rPr>
                <w:sz w:val="20"/>
                <w:szCs w:val="20"/>
              </w:rPr>
              <w:t>οντα</w:t>
            </w:r>
            <w:r w:rsidRPr="005A426D">
              <w:rPr>
                <w:sz w:val="20"/>
                <w:szCs w:val="20"/>
              </w:rPr>
              <w:t xml:space="preserve">ι να ολοκληρωθούν </w:t>
            </w:r>
            <w:r>
              <w:rPr>
                <w:sz w:val="20"/>
                <w:szCs w:val="20"/>
              </w:rPr>
              <w:t xml:space="preserve">το αργότερο μέχρι τις αρχές </w:t>
            </w:r>
            <w:r w:rsidRPr="005A426D">
              <w:rPr>
                <w:sz w:val="20"/>
                <w:szCs w:val="20"/>
              </w:rPr>
              <w:t xml:space="preserve">του </w:t>
            </w:r>
            <w:r>
              <w:rPr>
                <w:sz w:val="20"/>
                <w:szCs w:val="20"/>
              </w:rPr>
              <w:t xml:space="preserve">έτους </w:t>
            </w:r>
            <w:r w:rsidRPr="005A426D">
              <w:rPr>
                <w:sz w:val="20"/>
                <w:szCs w:val="20"/>
              </w:rPr>
              <w:t>202</w:t>
            </w:r>
            <w:r>
              <w:rPr>
                <w:sz w:val="20"/>
                <w:szCs w:val="20"/>
              </w:rPr>
              <w:t>2</w:t>
            </w:r>
            <w:r w:rsidRPr="005A426D">
              <w:rPr>
                <w:sz w:val="20"/>
                <w:szCs w:val="20"/>
              </w:rPr>
              <w:t>.</w:t>
            </w:r>
          </w:p>
          <w:p w14:paraId="50408694" w14:textId="7DE9909C" w:rsidR="00B67E94" w:rsidRPr="00F41D49" w:rsidRDefault="00B67E94" w:rsidP="00086F97">
            <w:pPr>
              <w:tabs>
                <w:tab w:val="left" w:pos="8262"/>
              </w:tabs>
              <w:spacing w:after="80" w:line="240" w:lineRule="exact"/>
              <w:jc w:val="both"/>
              <w:rPr>
                <w:sz w:val="20"/>
                <w:szCs w:val="20"/>
              </w:rPr>
            </w:pPr>
          </w:p>
        </w:tc>
      </w:tr>
      <w:tr w:rsidR="007C6465" w:rsidRPr="00E404C2" w14:paraId="73B1CA99" w14:textId="77777777" w:rsidTr="00603A42">
        <w:tc>
          <w:tcPr>
            <w:tcW w:w="1960" w:type="dxa"/>
          </w:tcPr>
          <w:p w14:paraId="494B0F4F" w14:textId="0E723016" w:rsidR="007C6465" w:rsidRPr="00F41D49" w:rsidRDefault="00F41D49" w:rsidP="00F41D49">
            <w:pPr>
              <w:tabs>
                <w:tab w:val="left" w:pos="8262"/>
              </w:tabs>
              <w:spacing w:after="60"/>
              <w:ind w:left="32" w:right="-11"/>
              <w:contextualSpacing/>
              <w:rPr>
                <w:rFonts w:eastAsiaTheme="minorEastAsia" w:cs="Calibri"/>
                <w:i/>
                <w:color w:val="FF0000"/>
              </w:rPr>
            </w:pPr>
            <w:r w:rsidRPr="00F41D49">
              <w:rPr>
                <w:rFonts w:eastAsiaTheme="minorEastAsia" w:cs="Calibri"/>
                <w:i/>
                <w:color w:val="6691AB"/>
              </w:rPr>
              <w:t>Δείκτες κεφαλαιακής επάρκειας σε ικανοποιητικά επίπεδα</w:t>
            </w:r>
          </w:p>
        </w:tc>
        <w:tc>
          <w:tcPr>
            <w:tcW w:w="7105" w:type="dxa"/>
          </w:tcPr>
          <w:p w14:paraId="38D8B2F5" w14:textId="4EA7AB19" w:rsidR="00603A42" w:rsidRPr="004D3F26" w:rsidRDefault="00603A42" w:rsidP="00603A42">
            <w:pPr>
              <w:autoSpaceDE w:val="0"/>
              <w:autoSpaceDN w:val="0"/>
              <w:adjustRightInd w:val="0"/>
              <w:jc w:val="both"/>
              <w:rPr>
                <w:rFonts w:ascii="Calibri" w:hAnsi="Calibri" w:cs="Calibri"/>
                <w:sz w:val="20"/>
                <w:szCs w:val="20"/>
              </w:rPr>
            </w:pPr>
            <w:r w:rsidRPr="004D3F26">
              <w:rPr>
                <w:rFonts w:ascii="Calibri" w:hAnsi="Calibri" w:cs="Calibri"/>
                <w:sz w:val="20"/>
                <w:szCs w:val="20"/>
              </w:rPr>
              <w:t xml:space="preserve">Ο δείκτης κεφαλαιακής επάρκειας Common Equity Tier 1 (CET1) του Ομίλου στο τέλος Ιουνίου 2021 διαμορφώθηκε στο </w:t>
            </w:r>
            <w:r w:rsidRPr="0078463B">
              <w:rPr>
                <w:rFonts w:ascii="Calibri" w:hAnsi="Calibri" w:cs="Calibri"/>
                <w:sz w:val="20"/>
                <w:szCs w:val="20"/>
              </w:rPr>
              <w:t>11,6%, ενώ ο συνολικός δείκτης κεφαλαί</w:t>
            </w:r>
            <w:r w:rsidR="00EC297E">
              <w:rPr>
                <w:rFonts w:ascii="Calibri" w:hAnsi="Calibri" w:cs="Calibri"/>
                <w:sz w:val="20"/>
                <w:szCs w:val="20"/>
              </w:rPr>
              <w:t>ων</w:t>
            </w:r>
            <w:r w:rsidRPr="0078463B">
              <w:rPr>
                <w:rFonts w:ascii="Calibri" w:hAnsi="Calibri" w:cs="Calibri"/>
                <w:sz w:val="20"/>
                <w:szCs w:val="20"/>
              </w:rPr>
              <w:t xml:space="preserve"> διαμορφώθηκε στο 15,8%, υψηλότερα από τις συνολικές </w:t>
            </w:r>
            <w:r w:rsidRPr="004D3F26">
              <w:rPr>
                <w:rFonts w:ascii="Calibri" w:hAnsi="Calibri" w:cs="Calibri"/>
                <w:sz w:val="20"/>
                <w:szCs w:val="20"/>
              </w:rPr>
              <w:t xml:space="preserve">κεφαλαιακές απαιτήσεις. </w:t>
            </w:r>
            <w:r>
              <w:rPr>
                <w:rFonts w:ascii="Calibri" w:hAnsi="Calibri" w:cs="Calibri"/>
                <w:sz w:val="20"/>
                <w:szCs w:val="20"/>
              </w:rPr>
              <w:t xml:space="preserve">Οι δείκτες </w:t>
            </w:r>
            <w:r w:rsidR="00EC297E">
              <w:rPr>
                <w:rFonts w:ascii="Calibri" w:hAnsi="Calibri" w:cs="Calibri"/>
                <w:sz w:val="20"/>
                <w:szCs w:val="20"/>
              </w:rPr>
              <w:t>υπολογίζονται</w:t>
            </w:r>
            <w:r w:rsidRPr="004D3F26">
              <w:rPr>
                <w:rFonts w:ascii="Calibri" w:hAnsi="Calibri" w:cs="Calibri"/>
                <w:sz w:val="20"/>
                <w:szCs w:val="20"/>
              </w:rPr>
              <w:t xml:space="preserve"> pro-forma για </w:t>
            </w:r>
            <w:r>
              <w:rPr>
                <w:rFonts w:ascii="Calibri" w:hAnsi="Calibri" w:cs="Calibri"/>
                <w:sz w:val="20"/>
                <w:szCs w:val="20"/>
              </w:rPr>
              <w:t xml:space="preserve">την </w:t>
            </w:r>
            <w:r w:rsidRPr="004D3F26">
              <w:rPr>
                <w:rFonts w:ascii="Calibri" w:hAnsi="Calibri" w:cs="Calibri"/>
                <w:sz w:val="20"/>
                <w:szCs w:val="20"/>
              </w:rPr>
              <w:t>αναμενόμενη ελάφρυνση του σταθμισμένου έναντι κινδύνων ενεργητικού που θα ακολουθήσει τη</w:t>
            </w:r>
            <w:r w:rsidR="0013797D">
              <w:rPr>
                <w:rFonts w:ascii="Calibri" w:hAnsi="Calibri" w:cs="Calibri"/>
                <w:sz w:val="20"/>
                <w:szCs w:val="20"/>
              </w:rPr>
              <w:t>ν</w:t>
            </w:r>
            <w:r w:rsidRPr="004D3F26">
              <w:rPr>
                <w:rFonts w:ascii="Calibri" w:hAnsi="Calibri" w:cs="Calibri"/>
                <w:sz w:val="20"/>
                <w:szCs w:val="20"/>
              </w:rPr>
              <w:t xml:space="preserve"> αποαναγνώριση της τιτλοποίησης </w:t>
            </w:r>
            <w:r>
              <w:rPr>
                <w:rFonts w:ascii="Calibri" w:hAnsi="Calibri" w:cs="Calibri"/>
                <w:sz w:val="20"/>
                <w:szCs w:val="20"/>
                <w:lang w:val="en-US"/>
              </w:rPr>
              <w:t>NPE</w:t>
            </w:r>
            <w:r w:rsidRPr="00807394">
              <w:rPr>
                <w:rFonts w:ascii="Calibri" w:hAnsi="Calibri" w:cs="Calibri"/>
                <w:sz w:val="20"/>
                <w:szCs w:val="20"/>
              </w:rPr>
              <w:t xml:space="preserve"> </w:t>
            </w:r>
            <w:r w:rsidRPr="004C18E6">
              <w:rPr>
                <w:sz w:val="20"/>
                <w:szCs w:val="20"/>
                <w:lang w:val="en-US"/>
              </w:rPr>
              <w:t>Sunrise</w:t>
            </w:r>
            <w:r w:rsidRPr="00807394">
              <w:rPr>
                <w:sz w:val="20"/>
                <w:szCs w:val="20"/>
              </w:rPr>
              <w:t xml:space="preserve"> 1</w:t>
            </w:r>
            <w:r w:rsidRPr="004D3F26">
              <w:rPr>
                <w:rFonts w:ascii="Calibri" w:hAnsi="Calibri" w:cs="Calibri"/>
                <w:sz w:val="20"/>
                <w:szCs w:val="20"/>
              </w:rPr>
              <w:t xml:space="preserve">, </w:t>
            </w:r>
            <w:r>
              <w:rPr>
                <w:rFonts w:ascii="Calibri" w:hAnsi="Calibri" w:cs="Calibri"/>
                <w:sz w:val="20"/>
                <w:szCs w:val="20"/>
              </w:rPr>
              <w:t xml:space="preserve">για την οποία οι ζημίες έχουν </w:t>
            </w:r>
            <w:r w:rsidR="00BA5DF0">
              <w:rPr>
                <w:rFonts w:ascii="Calibri" w:hAnsi="Calibri" w:cs="Calibri"/>
                <w:sz w:val="20"/>
                <w:szCs w:val="20"/>
              </w:rPr>
              <w:t xml:space="preserve">ήδη λογισικοποιηθεί </w:t>
            </w:r>
            <w:r>
              <w:rPr>
                <w:rFonts w:ascii="Calibri" w:hAnsi="Calibri" w:cs="Calibri"/>
                <w:sz w:val="20"/>
                <w:szCs w:val="20"/>
              </w:rPr>
              <w:t>πλήρως στο 2</w:t>
            </w:r>
            <w:r w:rsidRPr="00807394">
              <w:rPr>
                <w:rFonts w:ascii="Calibri" w:hAnsi="Calibri" w:cs="Calibri"/>
                <w:sz w:val="20"/>
                <w:szCs w:val="20"/>
                <w:vertAlign w:val="superscript"/>
              </w:rPr>
              <w:t>ο</w:t>
            </w:r>
            <w:r>
              <w:rPr>
                <w:rFonts w:ascii="Calibri" w:hAnsi="Calibri" w:cs="Calibri"/>
                <w:sz w:val="20"/>
                <w:szCs w:val="20"/>
              </w:rPr>
              <w:t xml:space="preserve"> 3μηνο 2021.</w:t>
            </w:r>
            <w:r w:rsidRPr="004D3F26">
              <w:rPr>
                <w:rFonts w:ascii="Calibri" w:hAnsi="Calibri" w:cs="Calibri"/>
                <w:sz w:val="20"/>
                <w:szCs w:val="20"/>
              </w:rPr>
              <w:t xml:space="preserve"> </w:t>
            </w:r>
          </w:p>
          <w:p w14:paraId="43C83BFA" w14:textId="77777777" w:rsidR="00B67E94" w:rsidRPr="00E404C2" w:rsidRDefault="00B67E94" w:rsidP="00097063">
            <w:pPr>
              <w:tabs>
                <w:tab w:val="left" w:pos="8262"/>
              </w:tabs>
              <w:spacing w:after="80" w:line="240" w:lineRule="exact"/>
              <w:jc w:val="both"/>
              <w:rPr>
                <w:color w:val="FF0000"/>
                <w:sz w:val="20"/>
                <w:szCs w:val="20"/>
              </w:rPr>
            </w:pPr>
          </w:p>
        </w:tc>
      </w:tr>
    </w:tbl>
    <w:p w14:paraId="191A85F2" w14:textId="77777777" w:rsidR="00603A42" w:rsidRDefault="00603A42" w:rsidP="005E029D">
      <w:pPr>
        <w:ind w:left="-1134" w:right="340"/>
        <w:jc w:val="both"/>
        <w:rPr>
          <w:color w:val="000000" w:themeColor="text1"/>
          <w:sz w:val="16"/>
          <w:szCs w:val="16"/>
        </w:rPr>
      </w:pPr>
    </w:p>
    <w:p w14:paraId="35BEC6DB" w14:textId="7EAB9904" w:rsidR="005E029D" w:rsidRPr="005E029D" w:rsidRDefault="005E029D" w:rsidP="005E029D">
      <w:pPr>
        <w:ind w:left="-1134" w:right="340"/>
        <w:jc w:val="both"/>
        <w:rPr>
          <w:color w:val="000000" w:themeColor="text1"/>
          <w:sz w:val="16"/>
          <w:szCs w:val="16"/>
        </w:rPr>
      </w:pPr>
      <w:r>
        <w:rPr>
          <w:color w:val="000000" w:themeColor="text1"/>
          <w:sz w:val="16"/>
          <w:szCs w:val="16"/>
        </w:rPr>
        <w:t>Γ</w:t>
      </w:r>
      <w:r>
        <w:rPr>
          <w:sz w:val="16"/>
          <w:szCs w:val="16"/>
        </w:rPr>
        <w:t>ια</w:t>
      </w:r>
      <w:r w:rsidRPr="00C73D52">
        <w:rPr>
          <w:sz w:val="16"/>
          <w:szCs w:val="16"/>
        </w:rPr>
        <w:t xml:space="preserve"> </w:t>
      </w:r>
      <w:r>
        <w:rPr>
          <w:sz w:val="16"/>
          <w:szCs w:val="16"/>
        </w:rPr>
        <w:t>πληρέστερη</w:t>
      </w:r>
      <w:r w:rsidRPr="00C73D52">
        <w:rPr>
          <w:sz w:val="16"/>
          <w:szCs w:val="16"/>
        </w:rPr>
        <w:t xml:space="preserve"> </w:t>
      </w:r>
      <w:r>
        <w:rPr>
          <w:sz w:val="16"/>
          <w:szCs w:val="16"/>
        </w:rPr>
        <w:t>αναφορά</w:t>
      </w:r>
      <w:r w:rsidRPr="00C73D52">
        <w:rPr>
          <w:sz w:val="16"/>
          <w:szCs w:val="16"/>
        </w:rPr>
        <w:t xml:space="preserve"> </w:t>
      </w:r>
      <w:r>
        <w:rPr>
          <w:sz w:val="16"/>
          <w:szCs w:val="16"/>
        </w:rPr>
        <w:t>σχετικά</w:t>
      </w:r>
      <w:r w:rsidRPr="00C73D52">
        <w:rPr>
          <w:sz w:val="16"/>
          <w:szCs w:val="16"/>
        </w:rPr>
        <w:t xml:space="preserve"> </w:t>
      </w:r>
      <w:r>
        <w:rPr>
          <w:sz w:val="16"/>
          <w:szCs w:val="16"/>
        </w:rPr>
        <w:t>με</w:t>
      </w:r>
      <w:r w:rsidRPr="00C73D52">
        <w:rPr>
          <w:sz w:val="16"/>
          <w:szCs w:val="16"/>
        </w:rPr>
        <w:t xml:space="preserve"> </w:t>
      </w:r>
      <w:r>
        <w:rPr>
          <w:sz w:val="16"/>
          <w:szCs w:val="16"/>
        </w:rPr>
        <w:t>τα</w:t>
      </w:r>
      <w:r w:rsidRPr="00C73D52">
        <w:rPr>
          <w:sz w:val="16"/>
          <w:szCs w:val="16"/>
        </w:rPr>
        <w:t xml:space="preserve"> </w:t>
      </w:r>
      <w:r>
        <w:rPr>
          <w:sz w:val="16"/>
          <w:szCs w:val="16"/>
        </w:rPr>
        <w:t>χρηματοοικονομικά</w:t>
      </w:r>
      <w:r w:rsidRPr="00C73D52">
        <w:rPr>
          <w:sz w:val="16"/>
          <w:szCs w:val="16"/>
        </w:rPr>
        <w:t xml:space="preserve"> </w:t>
      </w:r>
      <w:r>
        <w:rPr>
          <w:sz w:val="16"/>
          <w:szCs w:val="16"/>
        </w:rPr>
        <w:t>στοιχεία</w:t>
      </w:r>
      <w:r w:rsidRPr="00C73D52">
        <w:rPr>
          <w:sz w:val="16"/>
          <w:szCs w:val="16"/>
        </w:rPr>
        <w:t xml:space="preserve"> </w:t>
      </w:r>
      <w:r>
        <w:rPr>
          <w:sz w:val="16"/>
          <w:szCs w:val="16"/>
        </w:rPr>
        <w:t>και</w:t>
      </w:r>
      <w:r w:rsidRPr="00C73D52">
        <w:rPr>
          <w:sz w:val="16"/>
          <w:szCs w:val="16"/>
        </w:rPr>
        <w:t xml:space="preserve"> </w:t>
      </w:r>
      <w:r>
        <w:rPr>
          <w:sz w:val="16"/>
          <w:szCs w:val="16"/>
        </w:rPr>
        <w:t>τους</w:t>
      </w:r>
      <w:r w:rsidRPr="00C73D52">
        <w:rPr>
          <w:sz w:val="16"/>
          <w:szCs w:val="16"/>
        </w:rPr>
        <w:t xml:space="preserve"> </w:t>
      </w:r>
      <w:r>
        <w:rPr>
          <w:sz w:val="16"/>
          <w:szCs w:val="16"/>
        </w:rPr>
        <w:t>δείκτες</w:t>
      </w:r>
      <w:r w:rsidRPr="00C73D52">
        <w:rPr>
          <w:sz w:val="16"/>
          <w:szCs w:val="16"/>
        </w:rPr>
        <w:t xml:space="preserve"> </w:t>
      </w:r>
      <w:r>
        <w:rPr>
          <w:sz w:val="16"/>
          <w:szCs w:val="16"/>
        </w:rPr>
        <w:t>του</w:t>
      </w:r>
      <w:r w:rsidRPr="00C73D52">
        <w:rPr>
          <w:sz w:val="16"/>
          <w:szCs w:val="16"/>
        </w:rPr>
        <w:t xml:space="preserve"> </w:t>
      </w:r>
      <w:r>
        <w:rPr>
          <w:sz w:val="16"/>
          <w:szCs w:val="16"/>
        </w:rPr>
        <w:t>Ομίλου</w:t>
      </w:r>
      <w:r w:rsidRPr="00C73D52">
        <w:rPr>
          <w:sz w:val="16"/>
          <w:szCs w:val="16"/>
        </w:rPr>
        <w:t xml:space="preserve"> </w:t>
      </w:r>
      <w:r>
        <w:rPr>
          <w:sz w:val="16"/>
          <w:szCs w:val="16"/>
        </w:rPr>
        <w:t>Πειραιώς</w:t>
      </w:r>
      <w:r w:rsidRPr="00C73D52">
        <w:rPr>
          <w:sz w:val="16"/>
          <w:szCs w:val="16"/>
        </w:rPr>
        <w:t xml:space="preserve">, </w:t>
      </w:r>
      <w:r>
        <w:rPr>
          <w:sz w:val="16"/>
          <w:szCs w:val="16"/>
        </w:rPr>
        <w:t>βλ.</w:t>
      </w:r>
      <w:r w:rsidRPr="00C73D52">
        <w:rPr>
          <w:color w:val="000000" w:themeColor="text1"/>
          <w:sz w:val="16"/>
          <w:szCs w:val="16"/>
        </w:rPr>
        <w:t xml:space="preserve"> </w:t>
      </w:r>
      <w:hyperlink r:id="rId11" w:history="1">
        <w:r w:rsidRPr="00E13E44">
          <w:rPr>
            <w:rStyle w:val="Hyperlink"/>
            <w:sz w:val="16"/>
            <w:szCs w:val="16"/>
            <w:lang w:val="en-GB"/>
          </w:rPr>
          <w:t>Q</w:t>
        </w:r>
        <w:r w:rsidRPr="005E029D">
          <w:rPr>
            <w:rStyle w:val="Hyperlink"/>
            <w:sz w:val="16"/>
            <w:szCs w:val="16"/>
          </w:rPr>
          <w:t xml:space="preserve">2.2021 </w:t>
        </w:r>
        <w:r w:rsidRPr="00E13E44">
          <w:rPr>
            <w:rStyle w:val="Hyperlink"/>
            <w:sz w:val="16"/>
            <w:szCs w:val="16"/>
            <w:lang w:val="en-GB"/>
          </w:rPr>
          <w:t>Financial</w:t>
        </w:r>
        <w:r w:rsidRPr="005E029D">
          <w:rPr>
            <w:rStyle w:val="Hyperlink"/>
            <w:sz w:val="16"/>
            <w:szCs w:val="16"/>
          </w:rPr>
          <w:t xml:space="preserve"> </w:t>
        </w:r>
        <w:r w:rsidRPr="00E13E44">
          <w:rPr>
            <w:rStyle w:val="Hyperlink"/>
            <w:sz w:val="16"/>
            <w:szCs w:val="16"/>
            <w:lang w:val="en-GB"/>
          </w:rPr>
          <w:t>Results</w:t>
        </w:r>
      </w:hyperlink>
      <w:r w:rsidRPr="005E029D">
        <w:rPr>
          <w:color w:val="000000" w:themeColor="text1"/>
          <w:sz w:val="16"/>
          <w:szCs w:val="16"/>
        </w:rPr>
        <w:t xml:space="preserve">  </w:t>
      </w:r>
      <w:r>
        <w:rPr>
          <w:color w:val="000000" w:themeColor="text1"/>
          <w:sz w:val="16"/>
          <w:szCs w:val="16"/>
        </w:rPr>
        <w:t>και</w:t>
      </w:r>
      <w:hyperlink r:id="rId12" w:history="1">
        <w:r w:rsidRPr="00C75F09">
          <w:rPr>
            <w:rStyle w:val="Hyperlink"/>
            <w:sz w:val="16"/>
            <w:szCs w:val="16"/>
          </w:rPr>
          <w:t xml:space="preserve"> </w:t>
        </w:r>
        <w:r w:rsidR="00C75F09" w:rsidRPr="00C75F09">
          <w:rPr>
            <w:rStyle w:val="Hyperlink"/>
            <w:sz w:val="16"/>
            <w:szCs w:val="16"/>
          </w:rPr>
          <w:t>Εξαμηνιαία Οικονομική Εκθεση</w:t>
        </w:r>
      </w:hyperlink>
      <w:r w:rsidR="00250230">
        <w:rPr>
          <w:sz w:val="16"/>
          <w:szCs w:val="16"/>
        </w:rPr>
        <w:t xml:space="preserve"> </w:t>
      </w:r>
      <w:r w:rsidR="0013797D">
        <w:rPr>
          <w:sz w:val="16"/>
          <w:szCs w:val="16"/>
        </w:rPr>
        <w:t xml:space="preserve">η οποία αναμένεται </w:t>
      </w:r>
      <w:r w:rsidR="00250230">
        <w:rPr>
          <w:sz w:val="16"/>
          <w:szCs w:val="16"/>
        </w:rPr>
        <w:t xml:space="preserve">να είναι </w:t>
      </w:r>
      <w:r w:rsidR="0013797D">
        <w:rPr>
          <w:sz w:val="16"/>
          <w:szCs w:val="16"/>
        </w:rPr>
        <w:t xml:space="preserve">διαθέσιμη </w:t>
      </w:r>
      <w:r>
        <w:rPr>
          <w:sz w:val="16"/>
          <w:szCs w:val="16"/>
        </w:rPr>
        <w:t>στον</w:t>
      </w:r>
      <w:r w:rsidRPr="005E029D">
        <w:rPr>
          <w:sz w:val="16"/>
          <w:szCs w:val="16"/>
        </w:rPr>
        <w:t xml:space="preserve"> </w:t>
      </w:r>
      <w:r>
        <w:rPr>
          <w:sz w:val="16"/>
          <w:szCs w:val="16"/>
        </w:rPr>
        <w:t>ιστότοπο</w:t>
      </w:r>
      <w:r w:rsidRPr="005E029D">
        <w:rPr>
          <w:sz w:val="16"/>
          <w:szCs w:val="16"/>
        </w:rPr>
        <w:t xml:space="preserve"> </w:t>
      </w:r>
      <w:r>
        <w:rPr>
          <w:sz w:val="16"/>
          <w:szCs w:val="16"/>
        </w:rPr>
        <w:t>της</w:t>
      </w:r>
      <w:r w:rsidRPr="005E029D">
        <w:rPr>
          <w:sz w:val="16"/>
          <w:szCs w:val="16"/>
        </w:rPr>
        <w:t xml:space="preserve"> </w:t>
      </w:r>
      <w:r>
        <w:rPr>
          <w:sz w:val="16"/>
          <w:szCs w:val="16"/>
        </w:rPr>
        <w:t>Εταιρείας</w:t>
      </w:r>
      <w:r w:rsidR="00250230">
        <w:rPr>
          <w:sz w:val="16"/>
          <w:szCs w:val="16"/>
        </w:rPr>
        <w:t xml:space="preserve"> </w:t>
      </w:r>
      <w:r w:rsidR="00EC297E">
        <w:rPr>
          <w:sz w:val="16"/>
          <w:szCs w:val="16"/>
        </w:rPr>
        <w:t>από</w:t>
      </w:r>
      <w:r w:rsidR="00250230">
        <w:rPr>
          <w:sz w:val="16"/>
          <w:szCs w:val="16"/>
        </w:rPr>
        <w:t xml:space="preserve"> τις 9 Αυγούστου 2021.</w:t>
      </w:r>
      <w:r w:rsidRPr="005E029D">
        <w:rPr>
          <w:sz w:val="16"/>
          <w:szCs w:val="16"/>
        </w:rPr>
        <w:t xml:space="preserve"> </w:t>
      </w:r>
    </w:p>
    <w:p w14:paraId="6B00FD8F" w14:textId="77777777" w:rsidR="005E029D" w:rsidRPr="005E029D" w:rsidRDefault="005E029D" w:rsidP="00557A65">
      <w:pPr>
        <w:ind w:left="-1134" w:right="340"/>
        <w:jc w:val="both"/>
        <w:rPr>
          <w:color w:val="000000" w:themeColor="text1"/>
          <w:sz w:val="16"/>
          <w:szCs w:val="16"/>
        </w:rPr>
      </w:pPr>
    </w:p>
    <w:p w14:paraId="2BB96C7E" w14:textId="53AB4369" w:rsidR="00C75F09" w:rsidRDefault="00C75F09">
      <w:pPr>
        <w:rPr>
          <w:color w:val="000000" w:themeColor="text1"/>
          <w:sz w:val="16"/>
          <w:szCs w:val="16"/>
        </w:rPr>
      </w:pPr>
      <w:r>
        <w:rPr>
          <w:color w:val="000000" w:themeColor="text1"/>
          <w:sz w:val="16"/>
          <w:szCs w:val="16"/>
        </w:rPr>
        <w:br w:type="page"/>
      </w:r>
    </w:p>
    <w:p w14:paraId="6C460675" w14:textId="77777777" w:rsidR="008A40A1" w:rsidRPr="005E029D" w:rsidRDefault="008A40A1" w:rsidP="00855C0B">
      <w:pPr>
        <w:ind w:left="-1260" w:right="340"/>
        <w:jc w:val="both"/>
        <w:rPr>
          <w:color w:val="000000" w:themeColor="text1"/>
          <w:sz w:val="16"/>
          <w:szCs w:val="16"/>
        </w:rPr>
      </w:pPr>
    </w:p>
    <w:p w14:paraId="003C1467" w14:textId="28CEC7B0" w:rsidR="00703B9A" w:rsidRPr="0089533A" w:rsidRDefault="0089533A" w:rsidP="00912C26">
      <w:pPr>
        <w:tabs>
          <w:tab w:val="left" w:pos="8262"/>
        </w:tabs>
        <w:spacing w:before="120" w:after="0" w:line="264" w:lineRule="auto"/>
        <w:ind w:left="-1701" w:right="-285"/>
        <w:contextualSpacing/>
        <w:rPr>
          <w:rFonts w:eastAsia="Times New Roman" w:cs="Calibri"/>
          <w:b/>
          <w:i/>
          <w:color w:val="3A73AE" w:themeColor="accent1"/>
          <w:sz w:val="27"/>
          <w:szCs w:val="27"/>
        </w:rPr>
      </w:pPr>
      <w:r w:rsidRPr="005563F0">
        <w:rPr>
          <w:rFonts w:eastAsia="Times New Roman" w:cs="Calibri"/>
          <w:b/>
          <w:i/>
          <w:color w:val="3A73AE" w:themeColor="accent1"/>
          <w:sz w:val="27"/>
          <w:szCs w:val="27"/>
        </w:rPr>
        <w:t xml:space="preserve">Επιλεγμένα Στοιχεία Ομίλου Πειραιώς </w:t>
      </w:r>
      <w:r>
        <w:rPr>
          <w:rFonts w:eastAsia="Times New Roman" w:cs="Calibri"/>
          <w:b/>
          <w:i/>
          <w:color w:val="3A73AE" w:themeColor="accent1"/>
          <w:sz w:val="27"/>
          <w:szCs w:val="27"/>
          <w:lang w:val="en-US"/>
        </w:rPr>
        <w:t>Financial</w:t>
      </w:r>
      <w:r w:rsidRPr="005563F0">
        <w:rPr>
          <w:rFonts w:eastAsia="Times New Roman" w:cs="Calibri"/>
          <w:b/>
          <w:i/>
          <w:color w:val="3A73AE" w:themeColor="accent1"/>
          <w:sz w:val="27"/>
          <w:szCs w:val="27"/>
        </w:rPr>
        <w:t xml:space="preserve"> </w:t>
      </w:r>
      <w:r>
        <w:rPr>
          <w:rFonts w:eastAsia="Times New Roman" w:cs="Calibri"/>
          <w:b/>
          <w:i/>
          <w:color w:val="3A73AE" w:themeColor="accent1"/>
          <w:sz w:val="27"/>
          <w:szCs w:val="27"/>
          <w:lang w:val="en-US"/>
        </w:rPr>
        <w:t>Holdings</w:t>
      </w:r>
    </w:p>
    <w:tbl>
      <w:tblPr>
        <w:tblpPr w:leftFromText="180" w:rightFromText="180" w:vertAnchor="text" w:horzAnchor="page" w:tblpX="1305" w:tblpY="230"/>
        <w:tblW w:w="5881" w:type="pct"/>
        <w:shd w:val="clear" w:color="auto" w:fill="EDEBE5"/>
        <w:tblLayout w:type="fixed"/>
        <w:tblCellMar>
          <w:left w:w="113" w:type="dxa"/>
          <w:right w:w="113" w:type="dxa"/>
        </w:tblCellMar>
        <w:tblLook w:val="00A0" w:firstRow="1" w:lastRow="0" w:firstColumn="1" w:lastColumn="0" w:noHBand="0" w:noVBand="0"/>
      </w:tblPr>
      <w:tblGrid>
        <w:gridCol w:w="3878"/>
        <w:gridCol w:w="905"/>
        <w:gridCol w:w="905"/>
        <w:gridCol w:w="908"/>
        <w:gridCol w:w="905"/>
        <w:gridCol w:w="905"/>
        <w:gridCol w:w="901"/>
      </w:tblGrid>
      <w:tr w:rsidR="0089533A" w:rsidRPr="0089533A" w14:paraId="44B4BAEC" w14:textId="77777777" w:rsidTr="0089533A">
        <w:trPr>
          <w:trHeight w:val="419"/>
        </w:trPr>
        <w:tc>
          <w:tcPr>
            <w:tcW w:w="2083" w:type="pct"/>
            <w:shd w:val="clear" w:color="auto" w:fill="FFC000"/>
            <w:vAlign w:val="center"/>
          </w:tcPr>
          <w:p w14:paraId="1BE76925" w14:textId="22203CA1" w:rsidR="0089533A" w:rsidRPr="0089533A" w:rsidRDefault="0089533A" w:rsidP="0089533A">
            <w:pPr>
              <w:tabs>
                <w:tab w:val="left" w:pos="284"/>
              </w:tabs>
              <w:spacing w:after="0"/>
              <w:rPr>
                <w:rFonts w:ascii="Calibri" w:eastAsiaTheme="minorEastAsia" w:hAnsi="Calibri" w:cs="Calibri"/>
                <w:color w:val="023E87"/>
                <w:sz w:val="16"/>
                <w:szCs w:val="16"/>
              </w:rPr>
            </w:pPr>
            <w:r w:rsidRPr="00361F59">
              <w:rPr>
                <w:rFonts w:ascii="Calibri" w:eastAsiaTheme="minorEastAsia" w:hAnsi="Calibri" w:cs="Calibri"/>
                <w:color w:val="023E87"/>
                <w:sz w:val="16"/>
                <w:szCs w:val="16"/>
              </w:rPr>
              <w:t>Ενοποιημένα Στοιχεία (ποσά σε € εκατ.)</w:t>
            </w:r>
          </w:p>
        </w:tc>
        <w:tc>
          <w:tcPr>
            <w:tcW w:w="486" w:type="pct"/>
            <w:shd w:val="clear" w:color="auto" w:fill="FFC000"/>
            <w:vAlign w:val="center"/>
          </w:tcPr>
          <w:p w14:paraId="17B96CFD" w14:textId="77777777" w:rsidR="0089533A" w:rsidRPr="0089533A" w:rsidRDefault="0089533A" w:rsidP="0089533A">
            <w:pPr>
              <w:tabs>
                <w:tab w:val="left" w:pos="284"/>
              </w:tabs>
              <w:spacing w:after="0"/>
              <w:jc w:val="center"/>
              <w:rPr>
                <w:rFonts w:ascii="Calibri" w:eastAsiaTheme="minorEastAsia" w:hAnsi="Calibri" w:cs="Calibri"/>
                <w:color w:val="023E87"/>
                <w:sz w:val="16"/>
                <w:szCs w:val="16"/>
              </w:rPr>
            </w:pPr>
          </w:p>
        </w:tc>
        <w:tc>
          <w:tcPr>
            <w:tcW w:w="486" w:type="pct"/>
            <w:shd w:val="clear" w:color="auto" w:fill="FFC000"/>
            <w:vAlign w:val="center"/>
          </w:tcPr>
          <w:p w14:paraId="3F96DEC8" w14:textId="77777777" w:rsidR="0089533A" w:rsidRPr="0089533A" w:rsidRDefault="0089533A" w:rsidP="0089533A">
            <w:pPr>
              <w:tabs>
                <w:tab w:val="left" w:pos="284"/>
              </w:tabs>
              <w:spacing w:after="0"/>
              <w:jc w:val="center"/>
              <w:rPr>
                <w:rFonts w:ascii="Calibri" w:eastAsiaTheme="minorEastAsia" w:hAnsi="Calibri" w:cs="Calibri"/>
                <w:color w:val="023E87"/>
                <w:sz w:val="16"/>
                <w:szCs w:val="16"/>
              </w:rPr>
            </w:pPr>
          </w:p>
        </w:tc>
        <w:tc>
          <w:tcPr>
            <w:tcW w:w="488" w:type="pct"/>
            <w:shd w:val="clear" w:color="auto" w:fill="FFC000"/>
            <w:vAlign w:val="center"/>
          </w:tcPr>
          <w:p w14:paraId="19ED7354" w14:textId="77777777" w:rsidR="0089533A" w:rsidRPr="0089533A" w:rsidRDefault="0089533A" w:rsidP="0089533A">
            <w:pPr>
              <w:tabs>
                <w:tab w:val="left" w:pos="284"/>
              </w:tabs>
              <w:spacing w:after="0"/>
              <w:jc w:val="center"/>
              <w:rPr>
                <w:rFonts w:ascii="Calibri" w:eastAsiaTheme="minorEastAsia" w:hAnsi="Calibri" w:cs="Calibri"/>
                <w:color w:val="023E87"/>
                <w:sz w:val="16"/>
                <w:szCs w:val="16"/>
              </w:rPr>
            </w:pPr>
          </w:p>
        </w:tc>
        <w:tc>
          <w:tcPr>
            <w:tcW w:w="486" w:type="pct"/>
            <w:shd w:val="clear" w:color="auto" w:fill="FFC000"/>
            <w:vAlign w:val="center"/>
          </w:tcPr>
          <w:p w14:paraId="456E1ABB" w14:textId="77777777" w:rsidR="0089533A" w:rsidRPr="0089533A" w:rsidRDefault="0089533A" w:rsidP="0089533A">
            <w:pPr>
              <w:tabs>
                <w:tab w:val="left" w:pos="284"/>
              </w:tabs>
              <w:spacing w:after="0"/>
              <w:jc w:val="center"/>
              <w:rPr>
                <w:rFonts w:ascii="Calibri" w:eastAsiaTheme="minorEastAsia" w:hAnsi="Calibri" w:cs="Calibri"/>
                <w:color w:val="023E87"/>
                <w:sz w:val="16"/>
                <w:szCs w:val="16"/>
              </w:rPr>
            </w:pPr>
          </w:p>
        </w:tc>
        <w:tc>
          <w:tcPr>
            <w:tcW w:w="486" w:type="pct"/>
            <w:shd w:val="clear" w:color="auto" w:fill="FFC000"/>
          </w:tcPr>
          <w:p w14:paraId="2C046122" w14:textId="77777777" w:rsidR="0089533A" w:rsidRPr="0089533A" w:rsidRDefault="0089533A" w:rsidP="0089533A">
            <w:pPr>
              <w:tabs>
                <w:tab w:val="left" w:pos="284"/>
              </w:tabs>
              <w:spacing w:after="0"/>
              <w:ind w:hanging="22"/>
              <w:jc w:val="center"/>
              <w:rPr>
                <w:rFonts w:ascii="Calibri" w:eastAsiaTheme="minorEastAsia" w:hAnsi="Calibri" w:cs="Calibri"/>
                <w:color w:val="023E87"/>
                <w:sz w:val="16"/>
                <w:szCs w:val="16"/>
              </w:rPr>
            </w:pPr>
          </w:p>
        </w:tc>
        <w:tc>
          <w:tcPr>
            <w:tcW w:w="484" w:type="pct"/>
            <w:shd w:val="clear" w:color="auto" w:fill="FFC000"/>
            <w:vAlign w:val="center"/>
          </w:tcPr>
          <w:p w14:paraId="3F0F3017" w14:textId="77777777" w:rsidR="0089533A" w:rsidRPr="0089533A" w:rsidRDefault="0089533A" w:rsidP="0089533A">
            <w:pPr>
              <w:tabs>
                <w:tab w:val="left" w:pos="284"/>
              </w:tabs>
              <w:spacing w:after="0"/>
              <w:ind w:hanging="22"/>
              <w:jc w:val="center"/>
              <w:rPr>
                <w:rFonts w:ascii="Calibri" w:eastAsiaTheme="minorEastAsia" w:hAnsi="Calibri" w:cs="Calibri"/>
                <w:color w:val="023E87"/>
                <w:sz w:val="16"/>
                <w:szCs w:val="16"/>
              </w:rPr>
            </w:pPr>
          </w:p>
        </w:tc>
      </w:tr>
      <w:tr w:rsidR="0089533A" w:rsidRPr="003A2147" w14:paraId="7FB61AF1" w14:textId="77777777" w:rsidTr="0089533A">
        <w:trPr>
          <w:trHeight w:val="406"/>
        </w:trPr>
        <w:tc>
          <w:tcPr>
            <w:tcW w:w="2083" w:type="pct"/>
            <w:tcBorders>
              <w:left w:val="single" w:sz="4" w:space="0" w:color="FFC000"/>
            </w:tcBorders>
            <w:shd w:val="clear" w:color="auto" w:fill="DCDCD7"/>
            <w:vAlign w:val="center"/>
          </w:tcPr>
          <w:p w14:paraId="6473BE08" w14:textId="4B430F9C" w:rsidR="0089533A" w:rsidRPr="005744FA" w:rsidRDefault="0089533A" w:rsidP="0089533A">
            <w:pPr>
              <w:tabs>
                <w:tab w:val="left" w:pos="284"/>
              </w:tabs>
              <w:spacing w:after="0"/>
              <w:jc w:val="both"/>
              <w:rPr>
                <w:rFonts w:eastAsiaTheme="minorEastAsia" w:cs="Calibri"/>
                <w:color w:val="003C96" w:themeColor="text2"/>
                <w:sz w:val="16"/>
                <w:szCs w:val="16"/>
                <w:lang w:val="en-US"/>
              </w:rPr>
            </w:pPr>
            <w:r w:rsidRPr="00361F59">
              <w:rPr>
                <w:rFonts w:ascii="Calibri" w:eastAsiaTheme="minorEastAsia" w:hAnsi="Calibri" w:cs="Calibri"/>
                <w:color w:val="003C96" w:themeColor="text2"/>
                <w:sz w:val="16"/>
                <w:szCs w:val="16"/>
                <w:lang w:val="en-GB"/>
              </w:rPr>
              <w:t>Επιλεγμένα Στοιχεία Ισολογισμού</w:t>
            </w:r>
          </w:p>
        </w:tc>
        <w:tc>
          <w:tcPr>
            <w:tcW w:w="486" w:type="pct"/>
            <w:shd w:val="clear" w:color="auto" w:fill="DCDCD7"/>
            <w:vAlign w:val="center"/>
          </w:tcPr>
          <w:p w14:paraId="474E31FE" w14:textId="77777777" w:rsidR="0089533A" w:rsidRPr="00BE7714" w:rsidRDefault="0089533A" w:rsidP="0089533A">
            <w:pPr>
              <w:tabs>
                <w:tab w:val="left" w:pos="284"/>
              </w:tabs>
              <w:spacing w:after="0"/>
              <w:jc w:val="center"/>
              <w:rPr>
                <w:rFonts w:ascii="Calibri" w:eastAsiaTheme="minorEastAsia" w:hAnsi="Calibri" w:cs="Calibri"/>
                <w:color w:val="003C96" w:themeColor="text2"/>
                <w:sz w:val="16"/>
                <w:szCs w:val="16"/>
                <w:lang w:val="en-GB"/>
              </w:rPr>
            </w:pPr>
            <w:r w:rsidRPr="00BE7714">
              <w:rPr>
                <w:rFonts w:ascii="Calibri" w:eastAsiaTheme="minorEastAsia" w:hAnsi="Calibri" w:cs="Calibri"/>
                <w:color w:val="003C96" w:themeColor="text2"/>
                <w:sz w:val="16"/>
                <w:szCs w:val="16"/>
                <w:lang w:val="en-GB"/>
              </w:rPr>
              <w:t>3</w:t>
            </w:r>
            <w:r>
              <w:rPr>
                <w:rFonts w:ascii="Calibri" w:eastAsiaTheme="minorEastAsia" w:hAnsi="Calibri" w:cs="Calibri"/>
                <w:color w:val="003C96" w:themeColor="text2"/>
                <w:sz w:val="16"/>
                <w:szCs w:val="16"/>
              </w:rPr>
              <w:t>0</w:t>
            </w:r>
            <w:r w:rsidRPr="00BE7714">
              <w:rPr>
                <w:rFonts w:ascii="Calibri" w:eastAsiaTheme="minorEastAsia" w:hAnsi="Calibri" w:cs="Calibri"/>
                <w:color w:val="003C96" w:themeColor="text2"/>
                <w:sz w:val="16"/>
                <w:szCs w:val="16"/>
                <w:lang w:val="en-GB"/>
              </w:rPr>
              <w:t>.</w:t>
            </w:r>
            <w:r>
              <w:rPr>
                <w:rFonts w:ascii="Calibri" w:eastAsiaTheme="minorEastAsia" w:hAnsi="Calibri" w:cs="Calibri"/>
                <w:color w:val="003C96" w:themeColor="text2"/>
                <w:sz w:val="16"/>
                <w:szCs w:val="16"/>
                <w:lang w:val="en-US"/>
              </w:rPr>
              <w:t>06</w:t>
            </w:r>
            <w:r>
              <w:rPr>
                <w:rFonts w:ascii="Calibri" w:eastAsiaTheme="minorEastAsia" w:hAnsi="Calibri" w:cs="Calibri"/>
                <w:color w:val="003C96" w:themeColor="text2"/>
                <w:sz w:val="16"/>
                <w:szCs w:val="16"/>
                <w:lang w:val="en-GB"/>
              </w:rPr>
              <w:t>.21</w:t>
            </w:r>
          </w:p>
        </w:tc>
        <w:tc>
          <w:tcPr>
            <w:tcW w:w="486" w:type="pct"/>
            <w:shd w:val="clear" w:color="auto" w:fill="DCDCD7"/>
            <w:vAlign w:val="center"/>
          </w:tcPr>
          <w:p w14:paraId="1DE0A522" w14:textId="77777777" w:rsidR="0089533A" w:rsidRPr="00021B75" w:rsidRDefault="0089533A" w:rsidP="0089533A">
            <w:pPr>
              <w:tabs>
                <w:tab w:val="left" w:pos="284"/>
              </w:tabs>
              <w:spacing w:after="0"/>
              <w:jc w:val="center"/>
              <w:rPr>
                <w:rFonts w:ascii="Calibri" w:eastAsiaTheme="minorEastAsia" w:hAnsi="Calibri" w:cs="Calibri"/>
                <w:color w:val="003C96" w:themeColor="text2"/>
                <w:sz w:val="16"/>
                <w:szCs w:val="16"/>
                <w:lang w:val="en-US"/>
              </w:rPr>
            </w:pPr>
            <w:r w:rsidRPr="00BE7714">
              <w:rPr>
                <w:rFonts w:ascii="Calibri" w:eastAsiaTheme="minorEastAsia" w:hAnsi="Calibri" w:cs="Calibri"/>
                <w:color w:val="003C96" w:themeColor="text2"/>
                <w:sz w:val="16"/>
                <w:szCs w:val="16"/>
                <w:lang w:val="en-GB"/>
              </w:rPr>
              <w:t>3</w:t>
            </w:r>
            <w:r>
              <w:rPr>
                <w:rFonts w:ascii="Calibri" w:eastAsiaTheme="minorEastAsia" w:hAnsi="Calibri" w:cs="Calibri"/>
                <w:color w:val="003C96" w:themeColor="text2"/>
                <w:sz w:val="16"/>
                <w:szCs w:val="16"/>
                <w:lang w:val="en-US"/>
              </w:rPr>
              <w:t>1</w:t>
            </w:r>
            <w:r w:rsidRPr="00BE7714">
              <w:rPr>
                <w:rFonts w:ascii="Calibri" w:eastAsiaTheme="minorEastAsia" w:hAnsi="Calibri" w:cs="Calibri"/>
                <w:color w:val="003C96" w:themeColor="text2"/>
                <w:sz w:val="16"/>
                <w:szCs w:val="16"/>
                <w:lang w:val="en-GB"/>
              </w:rPr>
              <w:t>.</w:t>
            </w:r>
            <w:r>
              <w:rPr>
                <w:rFonts w:ascii="Calibri" w:eastAsiaTheme="minorEastAsia" w:hAnsi="Calibri" w:cs="Calibri"/>
                <w:color w:val="003C96" w:themeColor="text2"/>
                <w:sz w:val="16"/>
                <w:szCs w:val="16"/>
                <w:lang w:val="en-GB"/>
              </w:rPr>
              <w:t>03</w:t>
            </w:r>
            <w:r w:rsidRPr="00BE7714">
              <w:rPr>
                <w:rFonts w:ascii="Calibri" w:eastAsiaTheme="minorEastAsia" w:hAnsi="Calibri" w:cs="Calibri"/>
                <w:color w:val="003C96" w:themeColor="text2"/>
                <w:sz w:val="16"/>
                <w:szCs w:val="16"/>
                <w:lang w:val="en-GB"/>
              </w:rPr>
              <w:t>.</w:t>
            </w:r>
            <w:r>
              <w:rPr>
                <w:rFonts w:ascii="Calibri" w:eastAsiaTheme="minorEastAsia" w:hAnsi="Calibri" w:cs="Calibri"/>
                <w:color w:val="003C96" w:themeColor="text2"/>
                <w:sz w:val="16"/>
                <w:szCs w:val="16"/>
                <w:lang w:val="en-US"/>
              </w:rPr>
              <w:t>21</w:t>
            </w:r>
          </w:p>
        </w:tc>
        <w:tc>
          <w:tcPr>
            <w:tcW w:w="488" w:type="pct"/>
            <w:tcBorders>
              <w:right w:val="single" w:sz="18" w:space="0" w:color="FFC000"/>
            </w:tcBorders>
            <w:shd w:val="clear" w:color="auto" w:fill="DCDCD7"/>
            <w:vAlign w:val="center"/>
          </w:tcPr>
          <w:p w14:paraId="4F89F17B" w14:textId="77777777" w:rsidR="0089533A" w:rsidRPr="00777DF0" w:rsidRDefault="0089533A" w:rsidP="0089533A">
            <w:pPr>
              <w:spacing w:after="0"/>
              <w:ind w:right="-57"/>
              <w:jc w:val="center"/>
              <w:rPr>
                <w:rFonts w:ascii="Calibri" w:eastAsiaTheme="minorEastAsia" w:hAnsi="Calibri" w:cs="Calibri"/>
                <w:color w:val="003C96" w:themeColor="text2"/>
                <w:sz w:val="16"/>
                <w:szCs w:val="16"/>
              </w:rPr>
            </w:pPr>
            <w:r w:rsidRPr="00777DF0">
              <w:rPr>
                <w:rFonts w:ascii="Calibri" w:eastAsiaTheme="minorEastAsia" w:hAnsi="Calibri" w:cs="Calibri"/>
                <w:color w:val="003C96" w:themeColor="text2"/>
                <w:sz w:val="16"/>
                <w:szCs w:val="16"/>
              </w:rPr>
              <w:t>Δ%</w:t>
            </w:r>
          </w:p>
          <w:p w14:paraId="4E2BC43F" w14:textId="7A01E747" w:rsidR="0089533A" w:rsidRPr="00D31DF2" w:rsidRDefault="0089533A" w:rsidP="0089533A">
            <w:pPr>
              <w:spacing w:after="0"/>
              <w:ind w:right="-41"/>
              <w:jc w:val="center"/>
              <w:rPr>
                <w:rFonts w:ascii="Calibri" w:eastAsiaTheme="minorEastAsia" w:hAnsi="Calibri" w:cs="Calibri"/>
                <w:color w:val="003C96" w:themeColor="text2"/>
                <w:sz w:val="16"/>
                <w:szCs w:val="16"/>
                <w:lang w:val="en-US"/>
              </w:rPr>
            </w:pPr>
            <w:r>
              <w:rPr>
                <w:rFonts w:ascii="Calibri" w:eastAsiaTheme="minorEastAsia" w:hAnsi="Calibri" w:cs="Calibri"/>
                <w:color w:val="003C96" w:themeColor="text2"/>
                <w:sz w:val="14"/>
                <w:szCs w:val="14"/>
              </w:rPr>
              <w:t>τριμηνιαίως</w:t>
            </w:r>
          </w:p>
        </w:tc>
        <w:tc>
          <w:tcPr>
            <w:tcW w:w="486" w:type="pct"/>
            <w:tcBorders>
              <w:left w:val="single" w:sz="18" w:space="0" w:color="FFC000"/>
            </w:tcBorders>
            <w:shd w:val="clear" w:color="auto" w:fill="DCDCD7"/>
            <w:vAlign w:val="center"/>
          </w:tcPr>
          <w:p w14:paraId="001475E3" w14:textId="77777777" w:rsidR="0089533A" w:rsidRPr="00BE7714" w:rsidRDefault="0089533A" w:rsidP="0089533A">
            <w:pPr>
              <w:tabs>
                <w:tab w:val="left" w:pos="284"/>
              </w:tabs>
              <w:spacing w:after="0"/>
              <w:jc w:val="center"/>
              <w:rPr>
                <w:rFonts w:ascii="Calibri" w:eastAsiaTheme="minorEastAsia" w:hAnsi="Calibri" w:cs="Calibri"/>
                <w:color w:val="003C96" w:themeColor="text2"/>
                <w:sz w:val="16"/>
                <w:szCs w:val="16"/>
                <w:lang w:val="en-GB"/>
              </w:rPr>
            </w:pPr>
            <w:r>
              <w:rPr>
                <w:rFonts w:ascii="Calibri" w:eastAsiaTheme="minorEastAsia" w:hAnsi="Calibri" w:cs="Calibri"/>
                <w:color w:val="003C96" w:themeColor="text2"/>
                <w:sz w:val="16"/>
                <w:szCs w:val="16"/>
                <w:lang w:val="en-GB"/>
              </w:rPr>
              <w:t>30.06.21</w:t>
            </w:r>
          </w:p>
        </w:tc>
        <w:tc>
          <w:tcPr>
            <w:tcW w:w="486" w:type="pct"/>
            <w:shd w:val="clear" w:color="auto" w:fill="DCDCD7"/>
            <w:vAlign w:val="center"/>
          </w:tcPr>
          <w:p w14:paraId="2BFB4681" w14:textId="77777777" w:rsidR="0089533A" w:rsidRPr="00BE7714" w:rsidRDefault="0089533A" w:rsidP="0089533A">
            <w:pPr>
              <w:tabs>
                <w:tab w:val="left" w:pos="284"/>
              </w:tabs>
              <w:spacing w:after="0"/>
              <w:jc w:val="center"/>
              <w:rPr>
                <w:rFonts w:ascii="Calibri" w:eastAsiaTheme="minorEastAsia" w:hAnsi="Calibri" w:cs="Calibri"/>
                <w:color w:val="003C96" w:themeColor="text2"/>
                <w:sz w:val="16"/>
                <w:szCs w:val="16"/>
                <w:lang w:val="en-GB"/>
              </w:rPr>
            </w:pPr>
            <w:r>
              <w:rPr>
                <w:rFonts w:ascii="Calibri" w:eastAsiaTheme="minorEastAsia" w:hAnsi="Calibri" w:cs="Calibri"/>
                <w:color w:val="003C96" w:themeColor="text2"/>
                <w:sz w:val="16"/>
                <w:szCs w:val="16"/>
                <w:lang w:val="en-GB"/>
              </w:rPr>
              <w:t>30.06.20</w:t>
            </w:r>
          </w:p>
        </w:tc>
        <w:tc>
          <w:tcPr>
            <w:tcW w:w="484" w:type="pct"/>
            <w:shd w:val="clear" w:color="auto" w:fill="DCDCD7"/>
            <w:vAlign w:val="center"/>
          </w:tcPr>
          <w:p w14:paraId="6FFC58C4" w14:textId="77777777" w:rsidR="0089533A" w:rsidRDefault="0089533A" w:rsidP="0089533A">
            <w:pPr>
              <w:spacing w:after="0"/>
              <w:ind w:left="-103" w:right="-189"/>
              <w:jc w:val="center"/>
              <w:rPr>
                <w:rFonts w:ascii="Calibri" w:eastAsiaTheme="minorEastAsia" w:hAnsi="Calibri" w:cs="Calibri"/>
                <w:color w:val="003C96" w:themeColor="text2"/>
                <w:sz w:val="16"/>
                <w:szCs w:val="16"/>
              </w:rPr>
            </w:pPr>
            <w:r w:rsidRPr="00777DF0">
              <w:rPr>
                <w:rFonts w:ascii="Calibri" w:eastAsiaTheme="minorEastAsia" w:hAnsi="Calibri" w:cs="Calibri"/>
                <w:color w:val="003C96" w:themeColor="text2"/>
                <w:sz w:val="16"/>
                <w:szCs w:val="16"/>
              </w:rPr>
              <w:t>Δ%</w:t>
            </w:r>
          </w:p>
          <w:p w14:paraId="61CC8FD0" w14:textId="25B40288" w:rsidR="0089533A" w:rsidRPr="00BE7714" w:rsidRDefault="0089533A" w:rsidP="0089533A">
            <w:pPr>
              <w:tabs>
                <w:tab w:val="left" w:pos="284"/>
              </w:tabs>
              <w:spacing w:after="0"/>
              <w:jc w:val="center"/>
              <w:rPr>
                <w:rFonts w:ascii="Calibri" w:eastAsiaTheme="minorEastAsia" w:hAnsi="Calibri" w:cs="Calibri"/>
                <w:color w:val="003C96" w:themeColor="text2"/>
                <w:sz w:val="16"/>
                <w:szCs w:val="16"/>
                <w:lang w:val="en-GB"/>
              </w:rPr>
            </w:pPr>
            <w:r>
              <w:rPr>
                <w:rFonts w:ascii="Calibri" w:eastAsiaTheme="minorEastAsia" w:hAnsi="Calibri" w:cs="Calibri"/>
                <w:color w:val="003C96" w:themeColor="text2"/>
                <w:sz w:val="14"/>
                <w:szCs w:val="14"/>
              </w:rPr>
              <w:t>ετησίως</w:t>
            </w:r>
            <w:r>
              <w:rPr>
                <w:rFonts w:ascii="Calibri" w:eastAsiaTheme="minorEastAsia" w:hAnsi="Calibri" w:cs="Calibri"/>
                <w:color w:val="003C96" w:themeColor="text2"/>
                <w:sz w:val="16"/>
                <w:szCs w:val="16"/>
                <w:lang w:val="en-GB"/>
              </w:rPr>
              <w:t xml:space="preserve"> </w:t>
            </w:r>
          </w:p>
        </w:tc>
      </w:tr>
      <w:tr w:rsidR="00703B9A" w:rsidRPr="003A2147" w14:paraId="2D0FE12A" w14:textId="77777777" w:rsidTr="0089533A">
        <w:trPr>
          <w:trHeight w:val="63"/>
        </w:trPr>
        <w:tc>
          <w:tcPr>
            <w:tcW w:w="2083" w:type="pct"/>
            <w:tcBorders>
              <w:left w:val="single" w:sz="4" w:space="0" w:color="FFC000"/>
              <w:right w:val="single" w:sz="4" w:space="0" w:color="FFC000"/>
            </w:tcBorders>
            <w:shd w:val="clear" w:color="auto" w:fill="FFFFFF" w:themeFill="background1"/>
            <w:tcMar>
              <w:right w:w="113" w:type="dxa"/>
            </w:tcMar>
            <w:vAlign w:val="center"/>
          </w:tcPr>
          <w:p w14:paraId="08347D79" w14:textId="77777777" w:rsidR="00703B9A" w:rsidRPr="005744FA" w:rsidRDefault="00703B9A" w:rsidP="00D721FA">
            <w:pPr>
              <w:tabs>
                <w:tab w:val="left" w:pos="284"/>
              </w:tabs>
              <w:spacing w:after="0"/>
              <w:jc w:val="right"/>
              <w:rPr>
                <w:rFonts w:eastAsiaTheme="minorEastAsia" w:cs="Calibri"/>
                <w:sz w:val="10"/>
                <w:szCs w:val="16"/>
                <w:lang w:val="en-US"/>
              </w:rPr>
            </w:pPr>
          </w:p>
        </w:tc>
        <w:tc>
          <w:tcPr>
            <w:tcW w:w="486" w:type="pct"/>
            <w:tcBorders>
              <w:left w:val="single" w:sz="4" w:space="0" w:color="FFC000"/>
              <w:right w:val="single" w:sz="4" w:space="0" w:color="FFC000"/>
            </w:tcBorders>
            <w:shd w:val="clear" w:color="auto" w:fill="FFFFFF" w:themeFill="background1"/>
            <w:vAlign w:val="center"/>
          </w:tcPr>
          <w:p w14:paraId="60BE506A" w14:textId="77777777" w:rsidR="00703B9A" w:rsidRPr="00EE6EA8" w:rsidRDefault="00703B9A" w:rsidP="00D721FA">
            <w:pPr>
              <w:tabs>
                <w:tab w:val="left" w:pos="284"/>
              </w:tabs>
              <w:spacing w:after="0"/>
              <w:jc w:val="right"/>
              <w:rPr>
                <w:rFonts w:eastAsiaTheme="minorEastAsia" w:cs="Calibri"/>
                <w:sz w:val="10"/>
                <w:szCs w:val="16"/>
                <w:lang w:val="en-US"/>
              </w:rPr>
            </w:pPr>
          </w:p>
        </w:tc>
        <w:tc>
          <w:tcPr>
            <w:tcW w:w="486" w:type="pct"/>
            <w:tcBorders>
              <w:left w:val="single" w:sz="4" w:space="0" w:color="FFC000"/>
              <w:right w:val="single" w:sz="4" w:space="0" w:color="FFC000"/>
            </w:tcBorders>
            <w:shd w:val="clear" w:color="auto" w:fill="FFFFFF" w:themeFill="background1"/>
            <w:vAlign w:val="center"/>
          </w:tcPr>
          <w:p w14:paraId="001FDAF6" w14:textId="77777777" w:rsidR="00703B9A" w:rsidRPr="00EE6EA8" w:rsidRDefault="00703B9A" w:rsidP="00D721FA">
            <w:pPr>
              <w:tabs>
                <w:tab w:val="left" w:pos="284"/>
              </w:tabs>
              <w:spacing w:after="0"/>
              <w:jc w:val="right"/>
              <w:rPr>
                <w:rFonts w:eastAsiaTheme="minorEastAsia" w:cs="Calibri"/>
                <w:sz w:val="10"/>
                <w:szCs w:val="16"/>
                <w:lang w:val="en-US"/>
              </w:rPr>
            </w:pPr>
          </w:p>
        </w:tc>
        <w:tc>
          <w:tcPr>
            <w:tcW w:w="488" w:type="pct"/>
            <w:tcBorders>
              <w:left w:val="single" w:sz="4" w:space="0" w:color="FFC000"/>
              <w:right w:val="single" w:sz="18" w:space="0" w:color="FFC000"/>
            </w:tcBorders>
            <w:shd w:val="clear" w:color="auto" w:fill="FFFFFF" w:themeFill="background1"/>
            <w:vAlign w:val="center"/>
          </w:tcPr>
          <w:p w14:paraId="611FCAC9" w14:textId="77777777" w:rsidR="00703B9A" w:rsidRPr="00EE6EA8" w:rsidRDefault="00703B9A" w:rsidP="00D721FA">
            <w:pPr>
              <w:tabs>
                <w:tab w:val="left" w:pos="284"/>
              </w:tabs>
              <w:spacing w:after="0"/>
              <w:jc w:val="right"/>
              <w:rPr>
                <w:rFonts w:eastAsiaTheme="minorEastAsia" w:cs="Calibri"/>
                <w:sz w:val="10"/>
                <w:szCs w:val="16"/>
                <w:lang w:val="en-US"/>
              </w:rPr>
            </w:pPr>
          </w:p>
        </w:tc>
        <w:tc>
          <w:tcPr>
            <w:tcW w:w="486" w:type="pct"/>
            <w:tcBorders>
              <w:left w:val="single" w:sz="18" w:space="0" w:color="FFC000"/>
              <w:right w:val="single" w:sz="4" w:space="0" w:color="FFC000"/>
            </w:tcBorders>
            <w:shd w:val="clear" w:color="auto" w:fill="FFFFFF" w:themeFill="background1"/>
            <w:vAlign w:val="center"/>
          </w:tcPr>
          <w:p w14:paraId="1BB35C70" w14:textId="77777777" w:rsidR="00703B9A" w:rsidRPr="00EE6EA8" w:rsidRDefault="00703B9A" w:rsidP="00D721FA">
            <w:pPr>
              <w:tabs>
                <w:tab w:val="left" w:pos="284"/>
              </w:tabs>
              <w:spacing w:after="0"/>
              <w:jc w:val="right"/>
              <w:rPr>
                <w:rFonts w:eastAsiaTheme="minorEastAsia" w:cs="Calibri"/>
                <w:sz w:val="10"/>
                <w:szCs w:val="16"/>
                <w:lang w:val="en-US"/>
              </w:rPr>
            </w:pPr>
          </w:p>
        </w:tc>
        <w:tc>
          <w:tcPr>
            <w:tcW w:w="486" w:type="pct"/>
            <w:tcBorders>
              <w:left w:val="single" w:sz="4" w:space="0" w:color="FFC000"/>
              <w:right w:val="single" w:sz="4" w:space="0" w:color="FFC000"/>
            </w:tcBorders>
            <w:shd w:val="clear" w:color="auto" w:fill="FFFFFF" w:themeFill="background1"/>
          </w:tcPr>
          <w:p w14:paraId="4AEDE744" w14:textId="77777777" w:rsidR="00703B9A" w:rsidRPr="00EE6EA8" w:rsidRDefault="00703B9A" w:rsidP="00D721FA">
            <w:pPr>
              <w:tabs>
                <w:tab w:val="left" w:pos="284"/>
              </w:tabs>
              <w:spacing w:after="0"/>
              <w:jc w:val="right"/>
              <w:rPr>
                <w:rFonts w:eastAsiaTheme="minorEastAsia" w:cs="Calibri"/>
                <w:sz w:val="10"/>
                <w:szCs w:val="16"/>
                <w:lang w:val="en-US"/>
              </w:rPr>
            </w:pPr>
          </w:p>
        </w:tc>
        <w:tc>
          <w:tcPr>
            <w:tcW w:w="484" w:type="pct"/>
            <w:tcBorders>
              <w:left w:val="single" w:sz="4" w:space="0" w:color="FFC000"/>
              <w:right w:val="single" w:sz="4" w:space="0" w:color="FFC000"/>
            </w:tcBorders>
            <w:shd w:val="clear" w:color="auto" w:fill="FFFFFF" w:themeFill="background1"/>
            <w:vAlign w:val="center"/>
          </w:tcPr>
          <w:p w14:paraId="23CDE67C" w14:textId="77777777" w:rsidR="00703B9A" w:rsidRPr="00EE6EA8" w:rsidRDefault="00703B9A" w:rsidP="00D721FA">
            <w:pPr>
              <w:tabs>
                <w:tab w:val="left" w:pos="284"/>
              </w:tabs>
              <w:spacing w:after="0"/>
              <w:jc w:val="right"/>
              <w:rPr>
                <w:rFonts w:eastAsiaTheme="minorEastAsia" w:cs="Calibri"/>
                <w:sz w:val="10"/>
                <w:szCs w:val="16"/>
                <w:lang w:val="en-US"/>
              </w:rPr>
            </w:pPr>
          </w:p>
        </w:tc>
      </w:tr>
      <w:tr w:rsidR="00912C26" w:rsidRPr="003A2147" w14:paraId="741F3623" w14:textId="77777777" w:rsidTr="0089533A">
        <w:trPr>
          <w:trHeight w:val="303"/>
        </w:trPr>
        <w:tc>
          <w:tcPr>
            <w:tcW w:w="2083" w:type="pct"/>
            <w:tcBorders>
              <w:left w:val="single" w:sz="4" w:space="0" w:color="FFC000"/>
              <w:right w:val="single" w:sz="4" w:space="0" w:color="FFC000"/>
            </w:tcBorders>
            <w:shd w:val="clear" w:color="auto" w:fill="FFFFFF" w:themeFill="background1"/>
            <w:tcMar>
              <w:right w:w="113" w:type="dxa"/>
            </w:tcMar>
            <w:vAlign w:val="center"/>
          </w:tcPr>
          <w:p w14:paraId="553DD1FC" w14:textId="034D720D" w:rsidR="00912C26" w:rsidRPr="005744FA" w:rsidRDefault="00912C26" w:rsidP="00912C26">
            <w:pPr>
              <w:tabs>
                <w:tab w:val="left" w:pos="284"/>
              </w:tabs>
              <w:spacing w:after="0" w:line="240" w:lineRule="auto"/>
              <w:rPr>
                <w:rFonts w:eastAsiaTheme="minorEastAsia" w:cs="Calibri"/>
                <w:sz w:val="16"/>
                <w:szCs w:val="16"/>
                <w:lang w:val="en-GB"/>
              </w:rPr>
            </w:pPr>
            <w:r w:rsidRPr="002C502D">
              <w:rPr>
                <w:rFonts w:ascii="Calibri" w:eastAsiaTheme="minorEastAsia" w:hAnsi="Calibri" w:cs="Calibri"/>
                <w:sz w:val="16"/>
                <w:szCs w:val="16"/>
              </w:rPr>
              <w:t>Ενεργητικό</w:t>
            </w:r>
          </w:p>
        </w:tc>
        <w:tc>
          <w:tcPr>
            <w:tcW w:w="486" w:type="pct"/>
            <w:tcBorders>
              <w:left w:val="single" w:sz="4" w:space="0" w:color="FFC000"/>
              <w:right w:val="single" w:sz="4" w:space="0" w:color="FFC000"/>
            </w:tcBorders>
            <w:shd w:val="clear" w:color="auto" w:fill="FFFFFF" w:themeFill="background1"/>
            <w:vAlign w:val="center"/>
          </w:tcPr>
          <w:p w14:paraId="3FADA68F" w14:textId="1E800474" w:rsidR="00912C26" w:rsidRPr="00912C26" w:rsidRDefault="00912C26" w:rsidP="00912C26">
            <w:pPr>
              <w:tabs>
                <w:tab w:val="left" w:pos="284"/>
              </w:tabs>
              <w:spacing w:after="0" w:line="240" w:lineRule="auto"/>
              <w:jc w:val="right"/>
              <w:rPr>
                <w:rFonts w:eastAsiaTheme="minorEastAsia" w:cs="Calibri"/>
                <w:color w:val="000000" w:themeColor="text1"/>
                <w:sz w:val="16"/>
                <w:szCs w:val="16"/>
              </w:rPr>
            </w:pPr>
            <w:r w:rsidRPr="00912C26">
              <w:rPr>
                <w:rFonts w:eastAsiaTheme="minorEastAsia" w:cstheme="minorHAnsi"/>
                <w:color w:val="000000" w:themeColor="text1"/>
                <w:sz w:val="16"/>
                <w:szCs w:val="16"/>
              </w:rPr>
              <w:t>75.038</w:t>
            </w:r>
          </w:p>
        </w:tc>
        <w:tc>
          <w:tcPr>
            <w:tcW w:w="486" w:type="pct"/>
            <w:tcBorders>
              <w:left w:val="single" w:sz="4" w:space="0" w:color="FFC000"/>
              <w:right w:val="single" w:sz="4" w:space="0" w:color="FFC000"/>
            </w:tcBorders>
            <w:shd w:val="clear" w:color="auto" w:fill="FFFFFF" w:themeFill="background1"/>
            <w:vAlign w:val="center"/>
          </w:tcPr>
          <w:p w14:paraId="03DB9904" w14:textId="27078F38" w:rsidR="00912C26" w:rsidRPr="00912C26" w:rsidRDefault="00912C26" w:rsidP="00912C26">
            <w:pPr>
              <w:tabs>
                <w:tab w:val="left" w:pos="284"/>
              </w:tabs>
              <w:spacing w:after="0" w:line="240" w:lineRule="auto"/>
              <w:jc w:val="right"/>
              <w:rPr>
                <w:rFonts w:eastAsiaTheme="minorEastAsia" w:cs="Calibri"/>
                <w:color w:val="000000" w:themeColor="text1"/>
                <w:sz w:val="16"/>
                <w:szCs w:val="16"/>
              </w:rPr>
            </w:pPr>
            <w:r w:rsidRPr="00912C26">
              <w:rPr>
                <w:rFonts w:eastAsiaTheme="minorEastAsia" w:cs="Calibri"/>
                <w:color w:val="000000" w:themeColor="text1"/>
                <w:sz w:val="16"/>
                <w:szCs w:val="16"/>
              </w:rPr>
              <w:t>72.114</w:t>
            </w:r>
          </w:p>
        </w:tc>
        <w:tc>
          <w:tcPr>
            <w:tcW w:w="488" w:type="pct"/>
            <w:tcBorders>
              <w:left w:val="single" w:sz="4" w:space="0" w:color="FFC000"/>
              <w:right w:val="single" w:sz="18" w:space="0" w:color="FFC000"/>
            </w:tcBorders>
            <w:shd w:val="clear" w:color="auto" w:fill="FFFFFF" w:themeFill="background1"/>
            <w:vAlign w:val="center"/>
          </w:tcPr>
          <w:p w14:paraId="1A89D27F" w14:textId="655C1612" w:rsidR="00912C26" w:rsidRPr="00912C26" w:rsidRDefault="00912C26" w:rsidP="00912C26">
            <w:pPr>
              <w:tabs>
                <w:tab w:val="left" w:pos="284"/>
              </w:tabs>
              <w:spacing w:after="0" w:line="240" w:lineRule="auto"/>
              <w:jc w:val="right"/>
              <w:rPr>
                <w:rFonts w:eastAsiaTheme="minorEastAsia" w:cs="Calibri"/>
                <w:color w:val="000000" w:themeColor="text1"/>
                <w:sz w:val="16"/>
                <w:szCs w:val="16"/>
              </w:rPr>
            </w:pPr>
            <w:r w:rsidRPr="00912C26">
              <w:rPr>
                <w:rFonts w:eastAsiaTheme="minorEastAsia" w:cs="Calibri"/>
                <w:color w:val="000000" w:themeColor="text1"/>
                <w:sz w:val="16"/>
                <w:szCs w:val="16"/>
              </w:rPr>
              <w:t>4%</w:t>
            </w:r>
          </w:p>
        </w:tc>
        <w:tc>
          <w:tcPr>
            <w:tcW w:w="486" w:type="pct"/>
            <w:tcBorders>
              <w:left w:val="single" w:sz="18" w:space="0" w:color="FFC000"/>
              <w:right w:val="single" w:sz="4" w:space="0" w:color="FFC000"/>
            </w:tcBorders>
            <w:shd w:val="clear" w:color="auto" w:fill="FFFFFF" w:themeFill="background1"/>
            <w:vAlign w:val="center"/>
          </w:tcPr>
          <w:p w14:paraId="345D13C6" w14:textId="4B9680BA" w:rsidR="00912C26" w:rsidRPr="00912C26" w:rsidRDefault="00912C26" w:rsidP="00912C26">
            <w:pPr>
              <w:tabs>
                <w:tab w:val="left" w:pos="284"/>
              </w:tabs>
              <w:spacing w:after="0" w:line="240" w:lineRule="auto"/>
              <w:jc w:val="right"/>
              <w:rPr>
                <w:rFonts w:eastAsiaTheme="minorEastAsia" w:cs="Calibri"/>
                <w:color w:val="000000" w:themeColor="text1"/>
                <w:sz w:val="16"/>
                <w:szCs w:val="16"/>
              </w:rPr>
            </w:pPr>
            <w:r w:rsidRPr="00912C26">
              <w:rPr>
                <w:rFonts w:eastAsiaTheme="minorEastAsia" w:cs="Calibri"/>
                <w:color w:val="000000" w:themeColor="text1"/>
                <w:sz w:val="16"/>
                <w:szCs w:val="16"/>
              </w:rPr>
              <w:t>75</w:t>
            </w:r>
            <w:r>
              <w:rPr>
                <w:rFonts w:eastAsiaTheme="minorEastAsia" w:cs="Calibri"/>
                <w:color w:val="000000" w:themeColor="text1"/>
                <w:sz w:val="16"/>
                <w:szCs w:val="16"/>
                <w:lang w:val="en-US"/>
              </w:rPr>
              <w:t>.</w:t>
            </w:r>
            <w:r w:rsidRPr="00912C26">
              <w:rPr>
                <w:rFonts w:eastAsiaTheme="minorEastAsia" w:cs="Calibri"/>
                <w:color w:val="000000" w:themeColor="text1"/>
                <w:sz w:val="16"/>
                <w:szCs w:val="16"/>
              </w:rPr>
              <w:t>038</w:t>
            </w:r>
          </w:p>
        </w:tc>
        <w:tc>
          <w:tcPr>
            <w:tcW w:w="486" w:type="pct"/>
            <w:tcBorders>
              <w:left w:val="single" w:sz="4" w:space="0" w:color="FFC000"/>
              <w:right w:val="single" w:sz="4" w:space="0" w:color="FFC000"/>
            </w:tcBorders>
            <w:shd w:val="clear" w:color="auto" w:fill="FFFFFF" w:themeFill="background1"/>
            <w:vAlign w:val="center"/>
          </w:tcPr>
          <w:p w14:paraId="71CC7143" w14:textId="6221E7A3" w:rsidR="00912C26" w:rsidRPr="00912C26" w:rsidRDefault="00912C26" w:rsidP="00912C26">
            <w:pPr>
              <w:tabs>
                <w:tab w:val="left" w:pos="284"/>
              </w:tabs>
              <w:spacing w:after="0" w:line="240" w:lineRule="auto"/>
              <w:jc w:val="right"/>
              <w:rPr>
                <w:rFonts w:eastAsiaTheme="minorEastAsia" w:cs="Calibri"/>
                <w:color w:val="000000" w:themeColor="text1"/>
                <w:sz w:val="16"/>
                <w:szCs w:val="16"/>
              </w:rPr>
            </w:pPr>
            <w:r w:rsidRPr="00912C26">
              <w:rPr>
                <w:rFonts w:eastAsiaTheme="minorEastAsia" w:cs="Calibri"/>
                <w:color w:val="000000" w:themeColor="text1"/>
                <w:sz w:val="16"/>
                <w:szCs w:val="16"/>
              </w:rPr>
              <w:t>64.382</w:t>
            </w:r>
          </w:p>
        </w:tc>
        <w:tc>
          <w:tcPr>
            <w:tcW w:w="484" w:type="pct"/>
            <w:tcBorders>
              <w:left w:val="single" w:sz="4" w:space="0" w:color="FFC000"/>
              <w:right w:val="single" w:sz="4" w:space="0" w:color="FFC000"/>
            </w:tcBorders>
            <w:shd w:val="clear" w:color="auto" w:fill="FFFFFF" w:themeFill="background1"/>
            <w:vAlign w:val="center"/>
          </w:tcPr>
          <w:p w14:paraId="4B220B7A" w14:textId="0273DD11" w:rsidR="00912C26" w:rsidRPr="00912C26" w:rsidRDefault="00912C26" w:rsidP="00912C26">
            <w:pPr>
              <w:tabs>
                <w:tab w:val="left" w:pos="284"/>
              </w:tabs>
              <w:spacing w:after="0" w:line="240" w:lineRule="auto"/>
              <w:jc w:val="right"/>
              <w:rPr>
                <w:rFonts w:eastAsiaTheme="minorEastAsia" w:cs="Calibri"/>
                <w:color w:val="000000" w:themeColor="text1"/>
                <w:sz w:val="16"/>
                <w:szCs w:val="16"/>
              </w:rPr>
            </w:pPr>
            <w:r w:rsidRPr="00912C26">
              <w:rPr>
                <w:rFonts w:eastAsiaTheme="minorEastAsia" w:cs="Calibri"/>
                <w:color w:val="000000" w:themeColor="text1"/>
                <w:sz w:val="16"/>
                <w:szCs w:val="16"/>
              </w:rPr>
              <w:t>17%</w:t>
            </w:r>
          </w:p>
        </w:tc>
      </w:tr>
      <w:tr w:rsidR="00912C26" w:rsidRPr="003A2147" w14:paraId="1C0551D2" w14:textId="77777777" w:rsidTr="0089533A">
        <w:trPr>
          <w:trHeight w:val="303"/>
        </w:trPr>
        <w:tc>
          <w:tcPr>
            <w:tcW w:w="2083" w:type="pct"/>
            <w:tcBorders>
              <w:left w:val="single" w:sz="4" w:space="0" w:color="FFC000"/>
              <w:right w:val="single" w:sz="4" w:space="0" w:color="FFC000"/>
            </w:tcBorders>
            <w:shd w:val="clear" w:color="auto" w:fill="FFFFFF" w:themeFill="background1"/>
            <w:tcMar>
              <w:right w:w="113" w:type="dxa"/>
            </w:tcMar>
            <w:vAlign w:val="center"/>
          </w:tcPr>
          <w:p w14:paraId="6C6CCF5A" w14:textId="6D2EBB47" w:rsidR="00912C26" w:rsidRPr="00912C26" w:rsidRDefault="00912C26" w:rsidP="00912C26">
            <w:pPr>
              <w:tabs>
                <w:tab w:val="left" w:pos="284"/>
              </w:tabs>
              <w:spacing w:after="0" w:line="240" w:lineRule="auto"/>
              <w:rPr>
                <w:rFonts w:eastAsiaTheme="minorEastAsia" w:cs="Calibri"/>
                <w:sz w:val="16"/>
                <w:szCs w:val="16"/>
              </w:rPr>
            </w:pPr>
            <w:r w:rsidRPr="002C502D">
              <w:rPr>
                <w:rFonts w:ascii="Calibri" w:eastAsiaTheme="minorEastAsia" w:hAnsi="Calibri" w:cs="Calibri"/>
                <w:sz w:val="16"/>
                <w:szCs w:val="16"/>
              </w:rPr>
              <w:t>Καταθέσεις</w:t>
            </w:r>
          </w:p>
        </w:tc>
        <w:tc>
          <w:tcPr>
            <w:tcW w:w="486" w:type="pct"/>
            <w:tcBorders>
              <w:left w:val="single" w:sz="4" w:space="0" w:color="FFC000"/>
              <w:right w:val="single" w:sz="4" w:space="0" w:color="FFC000"/>
            </w:tcBorders>
            <w:shd w:val="clear" w:color="auto" w:fill="FFFFFF" w:themeFill="background1"/>
            <w:vAlign w:val="center"/>
          </w:tcPr>
          <w:p w14:paraId="255BAC9A" w14:textId="7CDB6029" w:rsidR="00912C26" w:rsidRPr="00912C26" w:rsidRDefault="00912C26" w:rsidP="00912C26">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51</w:t>
            </w:r>
            <w:r w:rsidRPr="00912C26">
              <w:rPr>
                <w:rFonts w:eastAsiaTheme="minorEastAsia" w:cs="Calibri"/>
                <w:color w:val="000000" w:themeColor="text1"/>
                <w:sz w:val="16"/>
                <w:szCs w:val="16"/>
              </w:rPr>
              <w:t>.215</w:t>
            </w:r>
          </w:p>
        </w:tc>
        <w:tc>
          <w:tcPr>
            <w:tcW w:w="486" w:type="pct"/>
            <w:tcBorders>
              <w:left w:val="single" w:sz="4" w:space="0" w:color="FFC000"/>
              <w:right w:val="single" w:sz="4" w:space="0" w:color="FFC000"/>
            </w:tcBorders>
            <w:shd w:val="clear" w:color="auto" w:fill="FFFFFF" w:themeFill="background1"/>
            <w:vAlign w:val="center"/>
          </w:tcPr>
          <w:p w14:paraId="48F961FE" w14:textId="5DC40D6D" w:rsidR="00912C26" w:rsidRPr="00912C26" w:rsidRDefault="00912C26" w:rsidP="00912C26">
            <w:pPr>
              <w:tabs>
                <w:tab w:val="left" w:pos="284"/>
              </w:tabs>
              <w:spacing w:after="0" w:line="240" w:lineRule="auto"/>
              <w:jc w:val="right"/>
              <w:rPr>
                <w:rFonts w:eastAsiaTheme="minorEastAsia" w:cs="Calibri"/>
                <w:color w:val="000000" w:themeColor="text1"/>
                <w:sz w:val="16"/>
                <w:szCs w:val="16"/>
              </w:rPr>
            </w:pPr>
            <w:r w:rsidRPr="00912C26">
              <w:rPr>
                <w:rFonts w:eastAsiaTheme="minorEastAsia" w:cs="Calibri"/>
                <w:color w:val="000000" w:themeColor="text1"/>
                <w:sz w:val="16"/>
                <w:szCs w:val="16"/>
              </w:rPr>
              <w:t>50.431</w:t>
            </w:r>
          </w:p>
        </w:tc>
        <w:tc>
          <w:tcPr>
            <w:tcW w:w="488" w:type="pct"/>
            <w:tcBorders>
              <w:left w:val="single" w:sz="4" w:space="0" w:color="FFC000"/>
              <w:right w:val="single" w:sz="18" w:space="0" w:color="FFC000"/>
            </w:tcBorders>
            <w:shd w:val="clear" w:color="auto" w:fill="FFFFFF" w:themeFill="background1"/>
            <w:vAlign w:val="center"/>
          </w:tcPr>
          <w:p w14:paraId="22312325" w14:textId="4DBC00D3" w:rsidR="00912C26" w:rsidRPr="00912C26" w:rsidRDefault="00912C26" w:rsidP="00912C26">
            <w:pPr>
              <w:tabs>
                <w:tab w:val="left" w:pos="284"/>
              </w:tabs>
              <w:spacing w:after="0" w:line="240" w:lineRule="auto"/>
              <w:jc w:val="right"/>
              <w:rPr>
                <w:rFonts w:eastAsiaTheme="minorEastAsia" w:cs="Calibri"/>
                <w:color w:val="000000" w:themeColor="text1"/>
                <w:sz w:val="16"/>
                <w:szCs w:val="16"/>
              </w:rPr>
            </w:pPr>
            <w:r w:rsidRPr="00912C26">
              <w:rPr>
                <w:rFonts w:eastAsiaTheme="minorEastAsia" w:cs="Calibri"/>
                <w:color w:val="000000" w:themeColor="text1"/>
                <w:sz w:val="16"/>
                <w:szCs w:val="16"/>
              </w:rPr>
              <w:t>2%</w:t>
            </w:r>
          </w:p>
        </w:tc>
        <w:tc>
          <w:tcPr>
            <w:tcW w:w="486" w:type="pct"/>
            <w:tcBorders>
              <w:left w:val="single" w:sz="18" w:space="0" w:color="FFC000"/>
              <w:right w:val="single" w:sz="4" w:space="0" w:color="FFC000"/>
            </w:tcBorders>
            <w:shd w:val="clear" w:color="auto" w:fill="FFFFFF" w:themeFill="background1"/>
            <w:vAlign w:val="center"/>
          </w:tcPr>
          <w:p w14:paraId="521DFC0F" w14:textId="74809CA5" w:rsidR="00912C26" w:rsidRPr="00912C26" w:rsidRDefault="00912C26" w:rsidP="00912C26">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51</w:t>
            </w:r>
            <w:r w:rsidRPr="00912C26">
              <w:rPr>
                <w:rFonts w:eastAsiaTheme="minorEastAsia" w:cs="Calibri"/>
                <w:color w:val="000000" w:themeColor="text1"/>
                <w:sz w:val="16"/>
                <w:szCs w:val="16"/>
              </w:rPr>
              <w:t>.215</w:t>
            </w:r>
          </w:p>
        </w:tc>
        <w:tc>
          <w:tcPr>
            <w:tcW w:w="486" w:type="pct"/>
            <w:tcBorders>
              <w:left w:val="single" w:sz="4" w:space="0" w:color="FFC000"/>
              <w:right w:val="single" w:sz="4" w:space="0" w:color="FFC000"/>
            </w:tcBorders>
            <w:shd w:val="clear" w:color="auto" w:fill="FFFFFF" w:themeFill="background1"/>
            <w:vAlign w:val="center"/>
          </w:tcPr>
          <w:p w14:paraId="635BBF70" w14:textId="34E1EA0A" w:rsidR="00912C26" w:rsidRPr="00912C26" w:rsidRDefault="00912C26" w:rsidP="00912C26">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45</w:t>
            </w:r>
            <w:r>
              <w:rPr>
                <w:rFonts w:eastAsiaTheme="minorEastAsia" w:cs="Calibri"/>
                <w:color w:val="000000" w:themeColor="text1"/>
                <w:sz w:val="16"/>
                <w:szCs w:val="16"/>
                <w:lang w:val="en-US"/>
              </w:rPr>
              <w:t>.</w:t>
            </w:r>
            <w:r w:rsidRPr="00912C26">
              <w:rPr>
                <w:rFonts w:eastAsiaTheme="minorEastAsia" w:cs="Calibri"/>
                <w:color w:val="000000" w:themeColor="text1"/>
                <w:sz w:val="16"/>
                <w:szCs w:val="16"/>
              </w:rPr>
              <w:t>706</w:t>
            </w:r>
          </w:p>
        </w:tc>
        <w:tc>
          <w:tcPr>
            <w:tcW w:w="484" w:type="pct"/>
            <w:tcBorders>
              <w:left w:val="single" w:sz="4" w:space="0" w:color="FFC000"/>
              <w:right w:val="single" w:sz="4" w:space="0" w:color="FFC000"/>
            </w:tcBorders>
            <w:shd w:val="clear" w:color="auto" w:fill="FFFFFF" w:themeFill="background1"/>
            <w:vAlign w:val="center"/>
          </w:tcPr>
          <w:p w14:paraId="51CC0C6B" w14:textId="1EB1E151" w:rsidR="00912C26" w:rsidRPr="00912C26" w:rsidRDefault="00912C26" w:rsidP="00912C26">
            <w:pPr>
              <w:tabs>
                <w:tab w:val="left" w:pos="284"/>
              </w:tabs>
              <w:spacing w:after="0" w:line="240" w:lineRule="auto"/>
              <w:jc w:val="right"/>
              <w:rPr>
                <w:rFonts w:eastAsiaTheme="minorEastAsia" w:cs="Calibri"/>
                <w:color w:val="000000" w:themeColor="text1"/>
                <w:sz w:val="16"/>
                <w:szCs w:val="16"/>
              </w:rPr>
            </w:pPr>
            <w:r w:rsidRPr="00912C26">
              <w:rPr>
                <w:rFonts w:eastAsiaTheme="minorEastAsia" w:cs="Calibri"/>
                <w:color w:val="000000" w:themeColor="text1"/>
                <w:sz w:val="16"/>
                <w:szCs w:val="16"/>
              </w:rPr>
              <w:t>12%</w:t>
            </w:r>
          </w:p>
        </w:tc>
      </w:tr>
      <w:tr w:rsidR="00912C26" w:rsidRPr="005744FA" w14:paraId="0AEEB5A2" w14:textId="77777777" w:rsidTr="0089533A">
        <w:trPr>
          <w:trHeight w:val="303"/>
        </w:trPr>
        <w:tc>
          <w:tcPr>
            <w:tcW w:w="2083" w:type="pct"/>
            <w:tcBorders>
              <w:left w:val="single" w:sz="4" w:space="0" w:color="FFC000"/>
              <w:right w:val="single" w:sz="4" w:space="0" w:color="FFC000"/>
            </w:tcBorders>
            <w:shd w:val="clear" w:color="auto" w:fill="FFFFFF" w:themeFill="background1"/>
            <w:tcMar>
              <w:right w:w="113" w:type="dxa"/>
            </w:tcMar>
            <w:vAlign w:val="center"/>
          </w:tcPr>
          <w:p w14:paraId="13209CD0" w14:textId="5E024A6F" w:rsidR="00912C26" w:rsidRPr="0089533A" w:rsidRDefault="00912C26" w:rsidP="00BA5DF0">
            <w:pPr>
              <w:tabs>
                <w:tab w:val="left" w:pos="284"/>
              </w:tabs>
              <w:spacing w:after="0" w:line="240" w:lineRule="auto"/>
              <w:ind w:right="-201"/>
              <w:rPr>
                <w:rFonts w:eastAsiaTheme="minorEastAsia" w:cs="Calibri"/>
                <w:sz w:val="16"/>
                <w:szCs w:val="16"/>
                <w:vertAlign w:val="superscript"/>
              </w:rPr>
            </w:pPr>
            <w:r w:rsidRPr="002C502D">
              <w:rPr>
                <w:rFonts w:ascii="Calibri" w:eastAsiaTheme="minorEastAsia" w:hAnsi="Calibri" w:cs="Calibri"/>
                <w:sz w:val="16"/>
                <w:szCs w:val="16"/>
              </w:rPr>
              <w:t xml:space="preserve">Δάνεια </w:t>
            </w:r>
            <w:r w:rsidR="00BA5DF0">
              <w:rPr>
                <w:rFonts w:ascii="Calibri" w:eastAsiaTheme="minorEastAsia" w:hAnsi="Calibri" w:cs="Calibri"/>
                <w:sz w:val="16"/>
                <w:szCs w:val="16"/>
              </w:rPr>
              <w:t xml:space="preserve">μετά από </w:t>
            </w:r>
            <w:r w:rsidRPr="002C502D">
              <w:rPr>
                <w:rFonts w:ascii="Calibri" w:eastAsiaTheme="minorEastAsia" w:hAnsi="Calibri" w:cs="Calibri"/>
                <w:sz w:val="16"/>
                <w:szCs w:val="16"/>
              </w:rPr>
              <w:t>Απομειώσ</w:t>
            </w:r>
            <w:r w:rsidR="00BA5DF0">
              <w:rPr>
                <w:rFonts w:ascii="Calibri" w:eastAsiaTheme="minorEastAsia" w:hAnsi="Calibri" w:cs="Calibri"/>
                <w:sz w:val="16"/>
                <w:szCs w:val="16"/>
              </w:rPr>
              <w:t>εις</w:t>
            </w:r>
            <w:r w:rsidRPr="002C502D">
              <w:rPr>
                <w:rFonts w:ascii="Calibri" w:eastAsiaTheme="minorEastAsia" w:hAnsi="Calibri" w:cs="Calibri"/>
                <w:sz w:val="16"/>
                <w:szCs w:val="16"/>
              </w:rPr>
              <w:t xml:space="preserve"> και Προσαρμογ</w:t>
            </w:r>
            <w:r w:rsidR="00BA5DF0">
              <w:rPr>
                <w:rFonts w:ascii="Calibri" w:eastAsiaTheme="minorEastAsia" w:hAnsi="Calibri" w:cs="Calibri"/>
                <w:sz w:val="16"/>
                <w:szCs w:val="16"/>
              </w:rPr>
              <w:t>ές</w:t>
            </w:r>
          </w:p>
        </w:tc>
        <w:tc>
          <w:tcPr>
            <w:tcW w:w="486" w:type="pct"/>
            <w:tcBorders>
              <w:left w:val="single" w:sz="4" w:space="0" w:color="FFC000"/>
              <w:right w:val="single" w:sz="4" w:space="0" w:color="FFC000"/>
            </w:tcBorders>
            <w:shd w:val="clear" w:color="auto" w:fill="FFFFFF" w:themeFill="background1"/>
            <w:vAlign w:val="center"/>
          </w:tcPr>
          <w:p w14:paraId="652CA1E4" w14:textId="50C92E4A" w:rsidR="00912C26" w:rsidRPr="00912C26" w:rsidRDefault="00912C26" w:rsidP="00912C26">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3</w:t>
            </w:r>
            <w:r w:rsidRPr="00912C26">
              <w:rPr>
                <w:rFonts w:eastAsiaTheme="minorEastAsia" w:cs="Calibri"/>
                <w:color w:val="000000" w:themeColor="text1"/>
                <w:sz w:val="16"/>
                <w:szCs w:val="16"/>
              </w:rPr>
              <w:t>3.150</w:t>
            </w:r>
          </w:p>
        </w:tc>
        <w:tc>
          <w:tcPr>
            <w:tcW w:w="486" w:type="pct"/>
            <w:tcBorders>
              <w:left w:val="single" w:sz="4" w:space="0" w:color="FFC000"/>
              <w:right w:val="single" w:sz="4" w:space="0" w:color="FFC000"/>
            </w:tcBorders>
            <w:shd w:val="clear" w:color="auto" w:fill="FFFFFF" w:themeFill="background1"/>
            <w:vAlign w:val="center"/>
          </w:tcPr>
          <w:p w14:paraId="7C4B88DB" w14:textId="29B84A21" w:rsidR="00912C26" w:rsidRPr="00912C26" w:rsidRDefault="00912C26" w:rsidP="00912C26">
            <w:pPr>
              <w:tabs>
                <w:tab w:val="left" w:pos="284"/>
              </w:tabs>
              <w:spacing w:after="0" w:line="240" w:lineRule="auto"/>
              <w:jc w:val="right"/>
              <w:rPr>
                <w:rFonts w:eastAsiaTheme="minorEastAsia" w:cs="Calibri"/>
                <w:color w:val="000000" w:themeColor="text1"/>
                <w:sz w:val="16"/>
                <w:szCs w:val="16"/>
              </w:rPr>
            </w:pPr>
            <w:r w:rsidRPr="00912C26">
              <w:rPr>
                <w:rFonts w:eastAsiaTheme="minorEastAsia" w:cs="Calibri"/>
                <w:color w:val="000000" w:themeColor="text1"/>
                <w:sz w:val="16"/>
                <w:szCs w:val="16"/>
              </w:rPr>
              <w:t>37.431</w:t>
            </w:r>
          </w:p>
        </w:tc>
        <w:tc>
          <w:tcPr>
            <w:tcW w:w="488" w:type="pct"/>
            <w:tcBorders>
              <w:left w:val="single" w:sz="4" w:space="0" w:color="FFC000"/>
              <w:right w:val="single" w:sz="18" w:space="0" w:color="FFC000"/>
            </w:tcBorders>
            <w:shd w:val="clear" w:color="auto" w:fill="FFFFFF" w:themeFill="background1"/>
            <w:vAlign w:val="center"/>
          </w:tcPr>
          <w:p w14:paraId="78CE4260" w14:textId="2DD34122" w:rsidR="00912C26" w:rsidRPr="003A1B16" w:rsidRDefault="00912C26" w:rsidP="00912C26">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w:t>
            </w:r>
            <w:r w:rsidRPr="00912C26">
              <w:rPr>
                <w:rFonts w:eastAsiaTheme="minorEastAsia" w:cs="Calibri"/>
                <w:color w:val="000000" w:themeColor="text1"/>
                <w:sz w:val="16"/>
                <w:szCs w:val="16"/>
              </w:rPr>
              <w:t>11</w:t>
            </w:r>
            <w:r>
              <w:rPr>
                <w:rFonts w:eastAsiaTheme="minorEastAsia" w:cs="Calibri"/>
                <w:color w:val="000000" w:themeColor="text1"/>
                <w:sz w:val="16"/>
                <w:szCs w:val="16"/>
              </w:rPr>
              <w:t>%</w:t>
            </w:r>
          </w:p>
        </w:tc>
        <w:tc>
          <w:tcPr>
            <w:tcW w:w="486" w:type="pct"/>
            <w:tcBorders>
              <w:left w:val="single" w:sz="18" w:space="0" w:color="FFC000"/>
              <w:right w:val="single" w:sz="4" w:space="0" w:color="FFC000"/>
            </w:tcBorders>
            <w:shd w:val="clear" w:color="auto" w:fill="FFFFFF" w:themeFill="background1"/>
            <w:vAlign w:val="center"/>
          </w:tcPr>
          <w:p w14:paraId="1BD550CB" w14:textId="4987DFC0" w:rsidR="00912C26" w:rsidRPr="00912C26" w:rsidRDefault="00912C26" w:rsidP="00912C26">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3</w:t>
            </w:r>
            <w:r w:rsidRPr="00912C26">
              <w:rPr>
                <w:rFonts w:eastAsiaTheme="minorEastAsia" w:cs="Calibri"/>
                <w:color w:val="000000" w:themeColor="text1"/>
                <w:sz w:val="16"/>
                <w:szCs w:val="16"/>
              </w:rPr>
              <w:t>3.150</w:t>
            </w:r>
          </w:p>
        </w:tc>
        <w:tc>
          <w:tcPr>
            <w:tcW w:w="486" w:type="pct"/>
            <w:tcBorders>
              <w:left w:val="single" w:sz="4" w:space="0" w:color="FFC000"/>
              <w:right w:val="single" w:sz="4" w:space="0" w:color="FFC000"/>
            </w:tcBorders>
            <w:shd w:val="clear" w:color="auto" w:fill="FFFFFF" w:themeFill="background1"/>
            <w:vAlign w:val="center"/>
          </w:tcPr>
          <w:p w14:paraId="61892F38" w14:textId="5F3365A9" w:rsidR="00912C26" w:rsidRPr="00912C26" w:rsidRDefault="00912C26" w:rsidP="00912C26">
            <w:pPr>
              <w:tabs>
                <w:tab w:val="left" w:pos="284"/>
              </w:tabs>
              <w:spacing w:after="0" w:line="240" w:lineRule="auto"/>
              <w:jc w:val="right"/>
              <w:rPr>
                <w:rFonts w:eastAsiaTheme="minorEastAsia" w:cs="Calibri"/>
                <w:color w:val="000000" w:themeColor="text1"/>
                <w:sz w:val="16"/>
                <w:szCs w:val="16"/>
              </w:rPr>
            </w:pPr>
            <w:r w:rsidRPr="00912C26">
              <w:rPr>
                <w:rFonts w:eastAsiaTheme="minorEastAsia" w:cs="Calibri"/>
                <w:color w:val="000000" w:themeColor="text1"/>
                <w:sz w:val="16"/>
                <w:szCs w:val="16"/>
              </w:rPr>
              <w:t>37</w:t>
            </w:r>
            <w:r>
              <w:rPr>
                <w:rFonts w:eastAsiaTheme="minorEastAsia" w:cs="Calibri"/>
                <w:color w:val="000000" w:themeColor="text1"/>
                <w:sz w:val="16"/>
                <w:szCs w:val="16"/>
                <w:lang w:val="en-US"/>
              </w:rPr>
              <w:t>.</w:t>
            </w:r>
            <w:r w:rsidRPr="00912C26">
              <w:rPr>
                <w:rFonts w:eastAsiaTheme="minorEastAsia" w:cs="Calibri"/>
                <w:color w:val="000000" w:themeColor="text1"/>
                <w:sz w:val="16"/>
                <w:szCs w:val="16"/>
              </w:rPr>
              <w:t>792</w:t>
            </w:r>
          </w:p>
        </w:tc>
        <w:tc>
          <w:tcPr>
            <w:tcW w:w="484" w:type="pct"/>
            <w:tcBorders>
              <w:left w:val="single" w:sz="4" w:space="0" w:color="FFC000"/>
              <w:right w:val="single" w:sz="4" w:space="0" w:color="FFC000"/>
            </w:tcBorders>
            <w:shd w:val="clear" w:color="auto" w:fill="FFFFFF" w:themeFill="background1"/>
            <w:vAlign w:val="center"/>
          </w:tcPr>
          <w:p w14:paraId="66E56F60" w14:textId="6AB3B391" w:rsidR="00912C26" w:rsidRPr="003A1B16" w:rsidRDefault="00912C26" w:rsidP="00912C26">
            <w:pPr>
              <w:tabs>
                <w:tab w:val="left" w:pos="284"/>
              </w:tabs>
              <w:spacing w:after="0" w:line="240" w:lineRule="auto"/>
              <w:jc w:val="right"/>
              <w:rPr>
                <w:rFonts w:eastAsiaTheme="minorEastAsia" w:cs="Calibri"/>
                <w:color w:val="000000" w:themeColor="text1"/>
                <w:sz w:val="16"/>
                <w:szCs w:val="16"/>
              </w:rPr>
            </w:pPr>
            <w:r w:rsidRPr="00912C26">
              <w:rPr>
                <w:rFonts w:eastAsiaTheme="minorEastAsia" w:cs="Calibri"/>
                <w:color w:val="000000" w:themeColor="text1"/>
                <w:sz w:val="16"/>
                <w:szCs w:val="16"/>
              </w:rPr>
              <w:t>-12</w:t>
            </w:r>
            <w:r>
              <w:rPr>
                <w:rFonts w:eastAsiaTheme="minorEastAsia" w:cs="Calibri"/>
                <w:color w:val="000000" w:themeColor="text1"/>
                <w:sz w:val="16"/>
                <w:szCs w:val="16"/>
              </w:rPr>
              <w:t>%</w:t>
            </w:r>
          </w:p>
        </w:tc>
      </w:tr>
      <w:tr w:rsidR="00703B9A" w:rsidRPr="00B72608" w14:paraId="65DC96AB" w14:textId="77777777" w:rsidTr="0089533A">
        <w:trPr>
          <w:trHeight w:val="63"/>
        </w:trPr>
        <w:tc>
          <w:tcPr>
            <w:tcW w:w="2083" w:type="pct"/>
            <w:tcBorders>
              <w:left w:val="single" w:sz="4" w:space="0" w:color="FFC000"/>
              <w:right w:val="single" w:sz="4" w:space="0" w:color="FFC000"/>
            </w:tcBorders>
            <w:shd w:val="clear" w:color="auto" w:fill="FFFFFF" w:themeFill="background1"/>
            <w:tcMar>
              <w:right w:w="113" w:type="dxa"/>
            </w:tcMar>
            <w:vAlign w:val="center"/>
          </w:tcPr>
          <w:p w14:paraId="4A0FE3FA" w14:textId="77777777" w:rsidR="00703B9A" w:rsidRPr="00912C26" w:rsidRDefault="00703B9A" w:rsidP="003D7C18">
            <w:pPr>
              <w:tabs>
                <w:tab w:val="left" w:pos="284"/>
              </w:tabs>
              <w:spacing w:after="0" w:line="240" w:lineRule="auto"/>
              <w:rPr>
                <w:rFonts w:ascii="Calibri" w:eastAsiaTheme="minorEastAsia" w:hAnsi="Calibri" w:cs="Calibri"/>
                <w:sz w:val="16"/>
                <w:szCs w:val="16"/>
              </w:rPr>
            </w:pPr>
          </w:p>
        </w:tc>
        <w:tc>
          <w:tcPr>
            <w:tcW w:w="486" w:type="pct"/>
            <w:tcBorders>
              <w:left w:val="single" w:sz="4" w:space="0" w:color="FFC000"/>
              <w:right w:val="single" w:sz="4" w:space="0" w:color="FFC000"/>
            </w:tcBorders>
            <w:shd w:val="clear" w:color="auto" w:fill="FFFFFF" w:themeFill="background1"/>
            <w:vAlign w:val="center"/>
          </w:tcPr>
          <w:p w14:paraId="5EA9C722" w14:textId="77777777" w:rsidR="00703B9A" w:rsidRPr="00912C26" w:rsidRDefault="00703B9A" w:rsidP="003D7C18">
            <w:pPr>
              <w:tabs>
                <w:tab w:val="left" w:pos="284"/>
              </w:tabs>
              <w:spacing w:after="0" w:line="240" w:lineRule="auto"/>
              <w:jc w:val="right"/>
              <w:rPr>
                <w:rFonts w:eastAsiaTheme="minorEastAsia" w:cs="Calibri"/>
                <w:color w:val="000000" w:themeColor="text1"/>
                <w:sz w:val="16"/>
                <w:szCs w:val="16"/>
              </w:rPr>
            </w:pPr>
          </w:p>
        </w:tc>
        <w:tc>
          <w:tcPr>
            <w:tcW w:w="486" w:type="pct"/>
            <w:tcBorders>
              <w:left w:val="single" w:sz="4" w:space="0" w:color="FFC000"/>
              <w:right w:val="single" w:sz="4" w:space="0" w:color="FFC000"/>
            </w:tcBorders>
            <w:shd w:val="clear" w:color="auto" w:fill="FFFFFF" w:themeFill="background1"/>
            <w:vAlign w:val="center"/>
          </w:tcPr>
          <w:p w14:paraId="324950F9" w14:textId="77777777" w:rsidR="00703B9A" w:rsidRPr="00912C26" w:rsidRDefault="00703B9A" w:rsidP="003D7C18">
            <w:pPr>
              <w:tabs>
                <w:tab w:val="left" w:pos="284"/>
              </w:tabs>
              <w:spacing w:after="0" w:line="240" w:lineRule="auto"/>
              <w:jc w:val="right"/>
              <w:rPr>
                <w:rFonts w:eastAsiaTheme="minorEastAsia" w:cs="Calibri"/>
                <w:color w:val="000000" w:themeColor="text1"/>
                <w:sz w:val="16"/>
                <w:szCs w:val="16"/>
              </w:rPr>
            </w:pPr>
          </w:p>
        </w:tc>
        <w:tc>
          <w:tcPr>
            <w:tcW w:w="488" w:type="pct"/>
            <w:tcBorders>
              <w:left w:val="single" w:sz="4" w:space="0" w:color="FFC000"/>
              <w:right w:val="single" w:sz="18" w:space="0" w:color="FFC000"/>
            </w:tcBorders>
            <w:shd w:val="clear" w:color="auto" w:fill="FFFFFF" w:themeFill="background1"/>
            <w:vAlign w:val="center"/>
          </w:tcPr>
          <w:p w14:paraId="41B43055" w14:textId="77777777" w:rsidR="00703B9A" w:rsidRPr="00912C26" w:rsidRDefault="00703B9A" w:rsidP="003D7C18">
            <w:pPr>
              <w:tabs>
                <w:tab w:val="left" w:pos="284"/>
              </w:tabs>
              <w:spacing w:after="0" w:line="240" w:lineRule="auto"/>
              <w:jc w:val="right"/>
              <w:rPr>
                <w:rFonts w:eastAsiaTheme="minorEastAsia" w:cs="Calibri"/>
                <w:sz w:val="16"/>
                <w:szCs w:val="16"/>
              </w:rPr>
            </w:pPr>
          </w:p>
        </w:tc>
        <w:tc>
          <w:tcPr>
            <w:tcW w:w="486" w:type="pct"/>
            <w:tcBorders>
              <w:left w:val="single" w:sz="18" w:space="0" w:color="FFC000"/>
              <w:right w:val="single" w:sz="4" w:space="0" w:color="FFC000"/>
            </w:tcBorders>
            <w:shd w:val="clear" w:color="auto" w:fill="FFFFFF" w:themeFill="background1"/>
            <w:vAlign w:val="center"/>
          </w:tcPr>
          <w:p w14:paraId="38AEF87B" w14:textId="77777777" w:rsidR="00703B9A" w:rsidRPr="00912C26" w:rsidRDefault="00703B9A" w:rsidP="003D7C18">
            <w:pPr>
              <w:tabs>
                <w:tab w:val="left" w:pos="284"/>
              </w:tabs>
              <w:spacing w:after="0" w:line="240" w:lineRule="auto"/>
              <w:jc w:val="right"/>
              <w:rPr>
                <w:rFonts w:eastAsiaTheme="minorEastAsia" w:cs="Calibri"/>
                <w:sz w:val="16"/>
                <w:szCs w:val="16"/>
              </w:rPr>
            </w:pPr>
          </w:p>
        </w:tc>
        <w:tc>
          <w:tcPr>
            <w:tcW w:w="486" w:type="pct"/>
            <w:tcBorders>
              <w:left w:val="single" w:sz="4" w:space="0" w:color="FFC000"/>
              <w:right w:val="single" w:sz="4" w:space="0" w:color="FFC000"/>
            </w:tcBorders>
            <w:shd w:val="clear" w:color="auto" w:fill="FFFFFF" w:themeFill="background1"/>
            <w:vAlign w:val="center"/>
          </w:tcPr>
          <w:p w14:paraId="2B7F6B17" w14:textId="77777777" w:rsidR="00703B9A" w:rsidRPr="00912C26" w:rsidRDefault="00703B9A" w:rsidP="003D7C18">
            <w:pPr>
              <w:tabs>
                <w:tab w:val="left" w:pos="284"/>
              </w:tabs>
              <w:spacing w:after="0" w:line="240" w:lineRule="auto"/>
              <w:jc w:val="right"/>
              <w:rPr>
                <w:rFonts w:eastAsiaTheme="minorEastAsia" w:cs="Calibri"/>
                <w:sz w:val="16"/>
                <w:szCs w:val="16"/>
              </w:rPr>
            </w:pPr>
          </w:p>
        </w:tc>
        <w:tc>
          <w:tcPr>
            <w:tcW w:w="484" w:type="pct"/>
            <w:tcBorders>
              <w:left w:val="single" w:sz="4" w:space="0" w:color="FFC000"/>
              <w:right w:val="single" w:sz="4" w:space="0" w:color="FFC000"/>
            </w:tcBorders>
            <w:shd w:val="clear" w:color="auto" w:fill="FFFFFF" w:themeFill="background1"/>
            <w:vAlign w:val="center"/>
          </w:tcPr>
          <w:p w14:paraId="523C141E" w14:textId="77777777" w:rsidR="00703B9A" w:rsidRPr="00912C26" w:rsidRDefault="00703B9A" w:rsidP="003D7C18">
            <w:pPr>
              <w:tabs>
                <w:tab w:val="left" w:pos="284"/>
              </w:tabs>
              <w:spacing w:after="0" w:line="240" w:lineRule="auto"/>
              <w:jc w:val="right"/>
              <w:rPr>
                <w:rFonts w:eastAsiaTheme="minorEastAsia" w:cs="Calibri"/>
                <w:sz w:val="16"/>
                <w:szCs w:val="16"/>
              </w:rPr>
            </w:pPr>
          </w:p>
        </w:tc>
      </w:tr>
      <w:tr w:rsidR="00703B9A" w:rsidRPr="00B72608" w14:paraId="53F9F108" w14:textId="77777777" w:rsidTr="0089533A">
        <w:trPr>
          <w:trHeight w:val="419"/>
        </w:trPr>
        <w:tc>
          <w:tcPr>
            <w:tcW w:w="2083" w:type="pct"/>
            <w:tcBorders>
              <w:left w:val="single" w:sz="4" w:space="0" w:color="FFC000"/>
            </w:tcBorders>
            <w:shd w:val="clear" w:color="auto" w:fill="DCDCD7"/>
            <w:tcMar>
              <w:right w:w="113" w:type="dxa"/>
            </w:tcMar>
            <w:vAlign w:val="center"/>
          </w:tcPr>
          <w:p w14:paraId="5A8CFACE" w14:textId="111E7D0E" w:rsidR="00703B9A" w:rsidRPr="00912C26" w:rsidRDefault="0089533A" w:rsidP="003D7C18">
            <w:pPr>
              <w:tabs>
                <w:tab w:val="left" w:pos="284"/>
              </w:tabs>
              <w:spacing w:after="0"/>
              <w:rPr>
                <w:rFonts w:eastAsiaTheme="minorEastAsia" w:cs="Calibri"/>
                <w:color w:val="003C96" w:themeColor="text2"/>
                <w:sz w:val="16"/>
                <w:szCs w:val="16"/>
              </w:rPr>
            </w:pPr>
            <w:r w:rsidRPr="00912C26">
              <w:rPr>
                <w:rFonts w:ascii="Calibri" w:eastAsiaTheme="minorEastAsia" w:hAnsi="Calibri" w:cs="Calibri"/>
                <w:color w:val="003C96" w:themeColor="text2"/>
                <w:sz w:val="16"/>
                <w:szCs w:val="16"/>
              </w:rPr>
              <w:t>Επιλεγμένα Αποτελέσματα</w:t>
            </w:r>
          </w:p>
        </w:tc>
        <w:tc>
          <w:tcPr>
            <w:tcW w:w="486" w:type="pct"/>
            <w:shd w:val="clear" w:color="auto" w:fill="DCDCD7"/>
            <w:vAlign w:val="center"/>
          </w:tcPr>
          <w:p w14:paraId="6D7EA51F" w14:textId="6AF39FD7" w:rsidR="00703B9A" w:rsidRPr="00912C26" w:rsidRDefault="0089533A" w:rsidP="0089533A">
            <w:pPr>
              <w:tabs>
                <w:tab w:val="left" w:pos="284"/>
              </w:tabs>
              <w:spacing w:after="0"/>
              <w:ind w:right="-152"/>
              <w:jc w:val="center"/>
              <w:rPr>
                <w:rFonts w:eastAsiaTheme="minorEastAsia" w:cs="Calibri"/>
                <w:color w:val="003C96" w:themeColor="text2"/>
                <w:sz w:val="16"/>
                <w:szCs w:val="16"/>
              </w:rPr>
            </w:pPr>
            <w:r>
              <w:rPr>
                <w:rFonts w:ascii="Calibri" w:eastAsiaTheme="minorEastAsia" w:hAnsi="Calibri" w:cs="Calibri"/>
                <w:color w:val="003C96" w:themeColor="text2"/>
                <w:sz w:val="16"/>
                <w:szCs w:val="16"/>
              </w:rPr>
              <w:t>2</w:t>
            </w:r>
            <w:r w:rsidRPr="00361F59">
              <w:rPr>
                <w:rFonts w:ascii="Calibri" w:eastAsiaTheme="minorEastAsia" w:hAnsi="Calibri" w:cs="Calibri"/>
                <w:color w:val="003C96" w:themeColor="text2"/>
                <w:sz w:val="16"/>
                <w:szCs w:val="16"/>
                <w:vertAlign w:val="superscript"/>
              </w:rPr>
              <w:t>ο</w:t>
            </w:r>
            <w:r>
              <w:rPr>
                <w:rFonts w:ascii="Calibri" w:eastAsiaTheme="minorEastAsia" w:hAnsi="Calibri" w:cs="Calibri"/>
                <w:color w:val="003C96" w:themeColor="text2"/>
                <w:sz w:val="16"/>
                <w:szCs w:val="16"/>
              </w:rPr>
              <w:t xml:space="preserve"> 3μ </w:t>
            </w:r>
            <w:r w:rsidRPr="00912C26">
              <w:rPr>
                <w:rFonts w:ascii="Calibri" w:eastAsiaTheme="minorEastAsia" w:hAnsi="Calibri" w:cs="Calibri"/>
                <w:color w:val="003C96" w:themeColor="text2"/>
                <w:sz w:val="16"/>
                <w:szCs w:val="16"/>
              </w:rPr>
              <w:t>202</w:t>
            </w:r>
            <w:r>
              <w:rPr>
                <w:rFonts w:ascii="Calibri" w:eastAsiaTheme="minorEastAsia" w:hAnsi="Calibri" w:cs="Calibri"/>
                <w:color w:val="003C96" w:themeColor="text2"/>
                <w:sz w:val="16"/>
                <w:szCs w:val="16"/>
              </w:rPr>
              <w:t>1</w:t>
            </w:r>
          </w:p>
        </w:tc>
        <w:tc>
          <w:tcPr>
            <w:tcW w:w="486" w:type="pct"/>
            <w:shd w:val="clear" w:color="auto" w:fill="DCDCD7"/>
            <w:vAlign w:val="center"/>
          </w:tcPr>
          <w:p w14:paraId="2E9192DE" w14:textId="3CD433D2" w:rsidR="00703B9A" w:rsidRPr="00912C26" w:rsidRDefault="0089533A" w:rsidP="0089533A">
            <w:pPr>
              <w:tabs>
                <w:tab w:val="left" w:pos="284"/>
              </w:tabs>
              <w:spacing w:after="0"/>
              <w:ind w:right="-90"/>
              <w:jc w:val="center"/>
              <w:rPr>
                <w:rFonts w:eastAsiaTheme="minorEastAsia" w:cs="Calibri"/>
                <w:color w:val="003C96" w:themeColor="text2"/>
                <w:sz w:val="16"/>
                <w:szCs w:val="16"/>
              </w:rPr>
            </w:pPr>
            <w:r>
              <w:rPr>
                <w:rFonts w:ascii="Calibri" w:eastAsiaTheme="minorEastAsia" w:hAnsi="Calibri" w:cs="Calibri"/>
                <w:color w:val="003C96" w:themeColor="text2"/>
                <w:sz w:val="16"/>
                <w:szCs w:val="16"/>
              </w:rPr>
              <w:t>1</w:t>
            </w:r>
            <w:r w:rsidRPr="00361F59">
              <w:rPr>
                <w:rFonts w:ascii="Calibri" w:eastAsiaTheme="minorEastAsia" w:hAnsi="Calibri" w:cs="Calibri"/>
                <w:color w:val="003C96" w:themeColor="text2"/>
                <w:sz w:val="16"/>
                <w:szCs w:val="16"/>
                <w:vertAlign w:val="superscript"/>
              </w:rPr>
              <w:t>ο</w:t>
            </w:r>
            <w:r>
              <w:rPr>
                <w:rFonts w:ascii="Calibri" w:eastAsiaTheme="minorEastAsia" w:hAnsi="Calibri" w:cs="Calibri"/>
                <w:color w:val="003C96" w:themeColor="text2"/>
                <w:sz w:val="16"/>
                <w:szCs w:val="16"/>
              </w:rPr>
              <w:t xml:space="preserve"> 3μ </w:t>
            </w:r>
            <w:r w:rsidRPr="00912C26">
              <w:rPr>
                <w:rFonts w:ascii="Calibri" w:eastAsiaTheme="minorEastAsia" w:hAnsi="Calibri" w:cs="Calibri"/>
                <w:color w:val="003C96" w:themeColor="text2"/>
                <w:sz w:val="16"/>
                <w:szCs w:val="16"/>
              </w:rPr>
              <w:t>202</w:t>
            </w:r>
            <w:r>
              <w:rPr>
                <w:rFonts w:ascii="Calibri" w:eastAsiaTheme="minorEastAsia" w:hAnsi="Calibri" w:cs="Calibri"/>
                <w:color w:val="003C96" w:themeColor="text2"/>
                <w:sz w:val="16"/>
                <w:szCs w:val="16"/>
              </w:rPr>
              <w:t>1</w:t>
            </w:r>
          </w:p>
        </w:tc>
        <w:tc>
          <w:tcPr>
            <w:tcW w:w="488" w:type="pct"/>
            <w:shd w:val="clear" w:color="auto" w:fill="DCDCD7"/>
            <w:vAlign w:val="center"/>
          </w:tcPr>
          <w:p w14:paraId="2C1A7897" w14:textId="77777777" w:rsidR="0089533A" w:rsidRPr="00777DF0" w:rsidRDefault="0089533A" w:rsidP="0089533A">
            <w:pPr>
              <w:spacing w:after="0"/>
              <w:ind w:right="-57"/>
              <w:jc w:val="center"/>
              <w:rPr>
                <w:rFonts w:ascii="Calibri" w:eastAsiaTheme="minorEastAsia" w:hAnsi="Calibri" w:cs="Calibri"/>
                <w:color w:val="003C96" w:themeColor="text2"/>
                <w:sz w:val="16"/>
                <w:szCs w:val="16"/>
              </w:rPr>
            </w:pPr>
            <w:r w:rsidRPr="00777DF0">
              <w:rPr>
                <w:rFonts w:ascii="Calibri" w:eastAsiaTheme="minorEastAsia" w:hAnsi="Calibri" w:cs="Calibri"/>
                <w:color w:val="003C96" w:themeColor="text2"/>
                <w:sz w:val="16"/>
                <w:szCs w:val="16"/>
              </w:rPr>
              <w:t>Δ%</w:t>
            </w:r>
          </w:p>
          <w:p w14:paraId="21BC2B30" w14:textId="0E910283" w:rsidR="00703B9A" w:rsidRPr="00912C26" w:rsidRDefault="0089533A" w:rsidP="0089533A">
            <w:pPr>
              <w:tabs>
                <w:tab w:val="left" w:pos="284"/>
              </w:tabs>
              <w:spacing w:after="0"/>
              <w:ind w:right="-41"/>
              <w:jc w:val="center"/>
              <w:rPr>
                <w:rFonts w:eastAsiaTheme="minorEastAsia" w:cs="Calibri"/>
                <w:color w:val="003C96" w:themeColor="text2"/>
                <w:sz w:val="16"/>
                <w:szCs w:val="16"/>
              </w:rPr>
            </w:pPr>
            <w:r>
              <w:rPr>
                <w:rFonts w:ascii="Calibri" w:eastAsiaTheme="minorEastAsia" w:hAnsi="Calibri" w:cs="Calibri"/>
                <w:color w:val="003C96" w:themeColor="text2"/>
                <w:sz w:val="14"/>
                <w:szCs w:val="14"/>
              </w:rPr>
              <w:t>τριμηνιαίως</w:t>
            </w:r>
          </w:p>
        </w:tc>
        <w:tc>
          <w:tcPr>
            <w:tcW w:w="486" w:type="pct"/>
            <w:tcBorders>
              <w:left w:val="single" w:sz="18" w:space="0" w:color="FFC000"/>
            </w:tcBorders>
            <w:shd w:val="clear" w:color="auto" w:fill="DCDCD7"/>
            <w:vAlign w:val="center"/>
          </w:tcPr>
          <w:p w14:paraId="4AD1906D" w14:textId="796AC3CC" w:rsidR="00703B9A" w:rsidRPr="00912C26" w:rsidRDefault="0089533A" w:rsidP="0089533A">
            <w:pPr>
              <w:tabs>
                <w:tab w:val="left" w:pos="284"/>
              </w:tabs>
              <w:spacing w:after="0"/>
              <w:ind w:right="-121"/>
              <w:jc w:val="center"/>
              <w:rPr>
                <w:rFonts w:eastAsiaTheme="minorEastAsia" w:cs="Calibri"/>
                <w:color w:val="003C96" w:themeColor="text2"/>
                <w:sz w:val="16"/>
                <w:szCs w:val="16"/>
              </w:rPr>
            </w:pPr>
            <w:r>
              <w:rPr>
                <w:rFonts w:ascii="Calibri" w:eastAsiaTheme="minorEastAsia" w:hAnsi="Calibri" w:cs="Calibri"/>
                <w:color w:val="003C96" w:themeColor="text2"/>
                <w:sz w:val="16"/>
                <w:szCs w:val="16"/>
              </w:rPr>
              <w:t>1</w:t>
            </w:r>
            <w:r w:rsidRPr="00361F59">
              <w:rPr>
                <w:rFonts w:ascii="Calibri" w:eastAsiaTheme="minorEastAsia" w:hAnsi="Calibri" w:cs="Calibri"/>
                <w:color w:val="003C96" w:themeColor="text2"/>
                <w:sz w:val="16"/>
                <w:szCs w:val="16"/>
                <w:vertAlign w:val="superscript"/>
              </w:rPr>
              <w:t>ο</w:t>
            </w:r>
            <w:r>
              <w:rPr>
                <w:rFonts w:ascii="Calibri" w:eastAsiaTheme="minorEastAsia" w:hAnsi="Calibri" w:cs="Calibri"/>
                <w:color w:val="003C96" w:themeColor="text2"/>
                <w:sz w:val="16"/>
                <w:szCs w:val="16"/>
              </w:rPr>
              <w:t xml:space="preserve"> 6μ </w:t>
            </w:r>
            <w:r w:rsidRPr="00912C26">
              <w:rPr>
                <w:rFonts w:ascii="Calibri" w:eastAsiaTheme="minorEastAsia" w:hAnsi="Calibri" w:cs="Calibri"/>
                <w:color w:val="003C96" w:themeColor="text2"/>
                <w:sz w:val="16"/>
                <w:szCs w:val="16"/>
              </w:rPr>
              <w:t>2021</w:t>
            </w:r>
          </w:p>
        </w:tc>
        <w:tc>
          <w:tcPr>
            <w:tcW w:w="486" w:type="pct"/>
            <w:shd w:val="clear" w:color="auto" w:fill="DCDCD7"/>
            <w:vAlign w:val="center"/>
          </w:tcPr>
          <w:p w14:paraId="649E8415" w14:textId="46464EFB" w:rsidR="00703B9A" w:rsidRPr="00912C26" w:rsidRDefault="0089533A" w:rsidP="0089533A">
            <w:pPr>
              <w:tabs>
                <w:tab w:val="left" w:pos="284"/>
              </w:tabs>
              <w:spacing w:after="0"/>
              <w:ind w:right="-72"/>
              <w:jc w:val="center"/>
              <w:rPr>
                <w:rFonts w:ascii="Calibri" w:eastAsiaTheme="minorEastAsia" w:hAnsi="Calibri" w:cs="Calibri"/>
                <w:color w:val="003C96" w:themeColor="text2"/>
                <w:sz w:val="16"/>
                <w:szCs w:val="16"/>
              </w:rPr>
            </w:pPr>
            <w:r>
              <w:rPr>
                <w:rFonts w:ascii="Calibri" w:eastAsiaTheme="minorEastAsia" w:hAnsi="Calibri" w:cs="Calibri"/>
                <w:color w:val="003C96" w:themeColor="text2"/>
                <w:sz w:val="16"/>
                <w:szCs w:val="16"/>
              </w:rPr>
              <w:t>1</w:t>
            </w:r>
            <w:r w:rsidRPr="00361F59">
              <w:rPr>
                <w:rFonts w:ascii="Calibri" w:eastAsiaTheme="minorEastAsia" w:hAnsi="Calibri" w:cs="Calibri"/>
                <w:color w:val="003C96" w:themeColor="text2"/>
                <w:sz w:val="16"/>
                <w:szCs w:val="16"/>
                <w:vertAlign w:val="superscript"/>
              </w:rPr>
              <w:t>ο</w:t>
            </w:r>
            <w:r>
              <w:rPr>
                <w:rFonts w:ascii="Calibri" w:eastAsiaTheme="minorEastAsia" w:hAnsi="Calibri" w:cs="Calibri"/>
                <w:color w:val="003C96" w:themeColor="text2"/>
                <w:sz w:val="16"/>
                <w:szCs w:val="16"/>
              </w:rPr>
              <w:t xml:space="preserve"> 6μ </w:t>
            </w:r>
            <w:r w:rsidRPr="00912C26">
              <w:rPr>
                <w:rFonts w:ascii="Calibri" w:eastAsiaTheme="minorEastAsia" w:hAnsi="Calibri" w:cs="Calibri"/>
                <w:color w:val="003C96" w:themeColor="text2"/>
                <w:sz w:val="16"/>
                <w:szCs w:val="16"/>
              </w:rPr>
              <w:t>202</w:t>
            </w:r>
            <w:r>
              <w:rPr>
                <w:rFonts w:ascii="Calibri" w:eastAsiaTheme="minorEastAsia" w:hAnsi="Calibri" w:cs="Calibri"/>
                <w:color w:val="003C96" w:themeColor="text2"/>
                <w:sz w:val="16"/>
                <w:szCs w:val="16"/>
              </w:rPr>
              <w:t>0</w:t>
            </w:r>
          </w:p>
        </w:tc>
        <w:tc>
          <w:tcPr>
            <w:tcW w:w="484" w:type="pct"/>
            <w:shd w:val="clear" w:color="auto" w:fill="DCDCD7"/>
            <w:vAlign w:val="center"/>
          </w:tcPr>
          <w:p w14:paraId="2C58F6DD" w14:textId="77777777" w:rsidR="0089533A" w:rsidRDefault="0089533A" w:rsidP="0089533A">
            <w:pPr>
              <w:spacing w:after="0"/>
              <w:ind w:left="-103" w:right="-189"/>
              <w:jc w:val="center"/>
              <w:rPr>
                <w:rFonts w:ascii="Calibri" w:eastAsiaTheme="minorEastAsia" w:hAnsi="Calibri" w:cs="Calibri"/>
                <w:color w:val="003C96" w:themeColor="text2"/>
                <w:sz w:val="16"/>
                <w:szCs w:val="16"/>
              </w:rPr>
            </w:pPr>
            <w:r w:rsidRPr="00777DF0">
              <w:rPr>
                <w:rFonts w:ascii="Calibri" w:eastAsiaTheme="minorEastAsia" w:hAnsi="Calibri" w:cs="Calibri"/>
                <w:color w:val="003C96" w:themeColor="text2"/>
                <w:sz w:val="16"/>
                <w:szCs w:val="16"/>
              </w:rPr>
              <w:t>Δ%</w:t>
            </w:r>
          </w:p>
          <w:p w14:paraId="303DF558" w14:textId="6C03566C" w:rsidR="00703B9A" w:rsidRPr="00B72608" w:rsidRDefault="0089533A" w:rsidP="0089533A">
            <w:pPr>
              <w:tabs>
                <w:tab w:val="left" w:pos="284"/>
              </w:tabs>
              <w:spacing w:after="0"/>
              <w:jc w:val="center"/>
              <w:rPr>
                <w:rFonts w:ascii="Calibri" w:eastAsiaTheme="minorEastAsia" w:hAnsi="Calibri" w:cs="Calibri"/>
                <w:color w:val="003C96" w:themeColor="text2"/>
                <w:sz w:val="16"/>
                <w:szCs w:val="16"/>
                <w:lang w:val="en-US"/>
              </w:rPr>
            </w:pPr>
            <w:r>
              <w:rPr>
                <w:rFonts w:ascii="Calibri" w:eastAsiaTheme="minorEastAsia" w:hAnsi="Calibri" w:cs="Calibri"/>
                <w:color w:val="003C96" w:themeColor="text2"/>
                <w:sz w:val="14"/>
                <w:szCs w:val="14"/>
              </w:rPr>
              <w:t>ετησίως</w:t>
            </w:r>
          </w:p>
        </w:tc>
      </w:tr>
      <w:tr w:rsidR="00703B9A" w:rsidRPr="00B72608" w14:paraId="6CC65C4E" w14:textId="77777777" w:rsidTr="0089533A">
        <w:trPr>
          <w:trHeight w:val="142"/>
        </w:trPr>
        <w:tc>
          <w:tcPr>
            <w:tcW w:w="2083" w:type="pct"/>
            <w:tcBorders>
              <w:left w:val="single" w:sz="4" w:space="0" w:color="FFC000"/>
              <w:right w:val="single" w:sz="4" w:space="0" w:color="FFC000"/>
            </w:tcBorders>
            <w:shd w:val="clear" w:color="auto" w:fill="FFFFFF" w:themeFill="background1"/>
            <w:tcMar>
              <w:right w:w="113" w:type="dxa"/>
            </w:tcMar>
            <w:vAlign w:val="center"/>
          </w:tcPr>
          <w:p w14:paraId="36A0A55C" w14:textId="77777777" w:rsidR="00703B9A" w:rsidRPr="00B72608" w:rsidRDefault="00703B9A" w:rsidP="003D7C18">
            <w:pPr>
              <w:tabs>
                <w:tab w:val="left" w:pos="284"/>
              </w:tabs>
              <w:spacing w:after="0"/>
              <w:rPr>
                <w:rFonts w:eastAsiaTheme="minorEastAsia" w:cs="Calibri"/>
                <w:sz w:val="10"/>
                <w:szCs w:val="16"/>
                <w:lang w:val="en-US"/>
              </w:rPr>
            </w:pPr>
          </w:p>
        </w:tc>
        <w:tc>
          <w:tcPr>
            <w:tcW w:w="486" w:type="pct"/>
            <w:tcBorders>
              <w:left w:val="single" w:sz="4" w:space="0" w:color="FFC000"/>
              <w:right w:val="single" w:sz="4" w:space="0" w:color="FFC000"/>
            </w:tcBorders>
            <w:shd w:val="clear" w:color="auto" w:fill="FFFFFF" w:themeFill="background1"/>
            <w:vAlign w:val="center"/>
          </w:tcPr>
          <w:p w14:paraId="4BF49203" w14:textId="77777777" w:rsidR="00703B9A" w:rsidRPr="00B72608" w:rsidRDefault="00703B9A" w:rsidP="003D7C18">
            <w:pPr>
              <w:tabs>
                <w:tab w:val="left" w:pos="284"/>
              </w:tabs>
              <w:spacing w:after="0"/>
              <w:rPr>
                <w:rFonts w:eastAsiaTheme="minorEastAsia" w:cs="Calibri"/>
                <w:sz w:val="10"/>
                <w:szCs w:val="16"/>
                <w:lang w:val="en-US"/>
              </w:rPr>
            </w:pPr>
          </w:p>
        </w:tc>
        <w:tc>
          <w:tcPr>
            <w:tcW w:w="486" w:type="pct"/>
            <w:tcBorders>
              <w:left w:val="single" w:sz="4" w:space="0" w:color="FFC000"/>
              <w:right w:val="single" w:sz="2" w:space="0" w:color="FFC000"/>
            </w:tcBorders>
            <w:shd w:val="clear" w:color="auto" w:fill="FFFFFF" w:themeFill="background1"/>
            <w:vAlign w:val="center"/>
          </w:tcPr>
          <w:p w14:paraId="009263E5" w14:textId="77777777" w:rsidR="00703B9A" w:rsidRPr="00B72608" w:rsidRDefault="00703B9A" w:rsidP="003D7C18">
            <w:pPr>
              <w:tabs>
                <w:tab w:val="left" w:pos="284"/>
              </w:tabs>
              <w:spacing w:after="0"/>
              <w:rPr>
                <w:rFonts w:eastAsiaTheme="minorEastAsia" w:cs="Calibri"/>
                <w:sz w:val="10"/>
                <w:szCs w:val="16"/>
                <w:lang w:val="en-US"/>
              </w:rPr>
            </w:pPr>
          </w:p>
        </w:tc>
        <w:tc>
          <w:tcPr>
            <w:tcW w:w="488" w:type="pct"/>
            <w:tcBorders>
              <w:left w:val="single" w:sz="2" w:space="0" w:color="FFC000"/>
              <w:right w:val="single" w:sz="4" w:space="0" w:color="FFC000"/>
            </w:tcBorders>
            <w:shd w:val="clear" w:color="auto" w:fill="FFFFFF" w:themeFill="background1"/>
            <w:vAlign w:val="center"/>
          </w:tcPr>
          <w:p w14:paraId="0B0F03C3" w14:textId="77777777" w:rsidR="00703B9A" w:rsidRPr="00B72608" w:rsidRDefault="00703B9A" w:rsidP="003D7C18">
            <w:pPr>
              <w:tabs>
                <w:tab w:val="left" w:pos="284"/>
              </w:tabs>
              <w:spacing w:after="0"/>
              <w:rPr>
                <w:rFonts w:eastAsiaTheme="minorEastAsia" w:cs="Calibri"/>
                <w:sz w:val="10"/>
                <w:szCs w:val="16"/>
                <w:lang w:val="en-US"/>
              </w:rPr>
            </w:pPr>
          </w:p>
        </w:tc>
        <w:tc>
          <w:tcPr>
            <w:tcW w:w="486" w:type="pct"/>
            <w:tcBorders>
              <w:left w:val="single" w:sz="18" w:space="0" w:color="FFC000"/>
              <w:right w:val="single" w:sz="4" w:space="0" w:color="FFC000"/>
            </w:tcBorders>
            <w:shd w:val="clear" w:color="auto" w:fill="FFFFFF" w:themeFill="background1"/>
            <w:vAlign w:val="center"/>
          </w:tcPr>
          <w:p w14:paraId="5A1012D3" w14:textId="77777777" w:rsidR="00703B9A" w:rsidRPr="00B72608" w:rsidRDefault="00703B9A" w:rsidP="003D7C18">
            <w:pPr>
              <w:tabs>
                <w:tab w:val="left" w:pos="284"/>
              </w:tabs>
              <w:spacing w:after="0"/>
              <w:rPr>
                <w:rFonts w:eastAsiaTheme="minorEastAsia" w:cs="Calibri"/>
                <w:sz w:val="10"/>
                <w:szCs w:val="16"/>
                <w:lang w:val="en-US"/>
              </w:rPr>
            </w:pPr>
          </w:p>
        </w:tc>
        <w:tc>
          <w:tcPr>
            <w:tcW w:w="486" w:type="pct"/>
            <w:tcBorders>
              <w:left w:val="single" w:sz="4" w:space="0" w:color="FFC000"/>
              <w:right w:val="single" w:sz="4" w:space="0" w:color="FFC000"/>
            </w:tcBorders>
            <w:shd w:val="clear" w:color="auto" w:fill="FFFFFF" w:themeFill="background1"/>
            <w:vAlign w:val="center"/>
          </w:tcPr>
          <w:p w14:paraId="35AF1CD4" w14:textId="77777777" w:rsidR="00703B9A" w:rsidRPr="00B72608" w:rsidRDefault="00703B9A" w:rsidP="003D7C18">
            <w:pPr>
              <w:tabs>
                <w:tab w:val="left" w:pos="284"/>
              </w:tabs>
              <w:spacing w:after="0"/>
              <w:rPr>
                <w:rFonts w:eastAsiaTheme="minorEastAsia" w:cs="Calibri"/>
                <w:sz w:val="10"/>
                <w:szCs w:val="16"/>
                <w:lang w:val="en-US"/>
              </w:rPr>
            </w:pPr>
          </w:p>
        </w:tc>
        <w:tc>
          <w:tcPr>
            <w:tcW w:w="484" w:type="pct"/>
            <w:tcBorders>
              <w:left w:val="single" w:sz="4" w:space="0" w:color="FFC000"/>
              <w:right w:val="single" w:sz="4" w:space="0" w:color="FFC000"/>
            </w:tcBorders>
            <w:shd w:val="clear" w:color="auto" w:fill="FFFFFF" w:themeFill="background1"/>
            <w:vAlign w:val="center"/>
          </w:tcPr>
          <w:p w14:paraId="19F1D007" w14:textId="77777777" w:rsidR="00703B9A" w:rsidRPr="00B72608" w:rsidRDefault="00703B9A" w:rsidP="003D7C18">
            <w:pPr>
              <w:tabs>
                <w:tab w:val="left" w:pos="284"/>
              </w:tabs>
              <w:spacing w:after="0"/>
              <w:rPr>
                <w:rFonts w:eastAsiaTheme="minorEastAsia" w:cs="Calibri"/>
                <w:sz w:val="10"/>
                <w:szCs w:val="16"/>
                <w:lang w:val="en-US"/>
              </w:rPr>
            </w:pPr>
          </w:p>
        </w:tc>
      </w:tr>
      <w:tr w:rsidR="00FE2913" w:rsidRPr="005744FA" w14:paraId="28B106B9" w14:textId="77777777" w:rsidTr="0089533A">
        <w:trPr>
          <w:trHeight w:val="280"/>
        </w:trPr>
        <w:tc>
          <w:tcPr>
            <w:tcW w:w="2083" w:type="pct"/>
            <w:tcBorders>
              <w:left w:val="single" w:sz="4" w:space="0" w:color="FFC000"/>
              <w:right w:val="single" w:sz="4" w:space="0" w:color="FFC000"/>
            </w:tcBorders>
            <w:shd w:val="clear" w:color="auto" w:fill="FFFFFF" w:themeFill="background1"/>
            <w:tcMar>
              <w:right w:w="113" w:type="dxa"/>
            </w:tcMar>
            <w:vAlign w:val="center"/>
          </w:tcPr>
          <w:p w14:paraId="10D00C48" w14:textId="12E44CF0" w:rsidR="00FE2913" w:rsidRPr="005744FA" w:rsidRDefault="00FE2913" w:rsidP="00FE2913">
            <w:pPr>
              <w:tabs>
                <w:tab w:val="left" w:pos="284"/>
              </w:tabs>
              <w:spacing w:after="0"/>
              <w:rPr>
                <w:rFonts w:eastAsiaTheme="minorEastAsia" w:cs="Calibri"/>
                <w:sz w:val="16"/>
                <w:szCs w:val="16"/>
                <w:lang w:val="en-GB"/>
              </w:rPr>
            </w:pPr>
            <w:r w:rsidRPr="007316DD">
              <w:rPr>
                <w:rFonts w:ascii="Calibri" w:eastAsiaTheme="minorEastAsia" w:hAnsi="Calibri" w:cs="Calibri"/>
                <w:sz w:val="16"/>
                <w:szCs w:val="16"/>
              </w:rPr>
              <w:t>Καθαρά Έσοδα Τόκων</w:t>
            </w:r>
          </w:p>
        </w:tc>
        <w:tc>
          <w:tcPr>
            <w:tcW w:w="486" w:type="pct"/>
            <w:tcBorders>
              <w:left w:val="single" w:sz="4" w:space="0" w:color="FFC000"/>
              <w:right w:val="single" w:sz="4" w:space="0" w:color="FFC000"/>
            </w:tcBorders>
            <w:shd w:val="clear" w:color="auto" w:fill="FFFFFF" w:themeFill="background1"/>
            <w:vAlign w:val="center"/>
          </w:tcPr>
          <w:p w14:paraId="1873E805" w14:textId="3FEA6308" w:rsidR="00FE2913" w:rsidRPr="00B710C6" w:rsidRDefault="00FE2913" w:rsidP="00FE2913">
            <w:pPr>
              <w:tabs>
                <w:tab w:val="left" w:pos="284"/>
              </w:tabs>
              <w:spacing w:after="0" w:line="240" w:lineRule="auto"/>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407</w:t>
            </w:r>
          </w:p>
        </w:tc>
        <w:tc>
          <w:tcPr>
            <w:tcW w:w="486" w:type="pct"/>
            <w:tcBorders>
              <w:left w:val="single" w:sz="4" w:space="0" w:color="FFC000"/>
              <w:right w:val="single" w:sz="4" w:space="0" w:color="FFC000"/>
            </w:tcBorders>
            <w:shd w:val="clear" w:color="auto" w:fill="FFFFFF" w:themeFill="background1"/>
            <w:vAlign w:val="center"/>
          </w:tcPr>
          <w:p w14:paraId="3198D4B2" w14:textId="1ABD787C" w:rsidR="00FE2913" w:rsidRPr="00B710C6" w:rsidRDefault="00FE2913" w:rsidP="00FE2913">
            <w:pPr>
              <w:tabs>
                <w:tab w:val="left" w:pos="284"/>
              </w:tabs>
              <w:spacing w:after="0" w:line="240" w:lineRule="auto"/>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366</w:t>
            </w:r>
          </w:p>
        </w:tc>
        <w:tc>
          <w:tcPr>
            <w:tcW w:w="488" w:type="pct"/>
            <w:tcBorders>
              <w:left w:val="single" w:sz="2" w:space="0" w:color="FFC000"/>
              <w:right w:val="single" w:sz="4" w:space="0" w:color="FFC000"/>
            </w:tcBorders>
            <w:shd w:val="clear" w:color="auto" w:fill="FFFFFF" w:themeFill="background1"/>
            <w:vAlign w:val="center"/>
          </w:tcPr>
          <w:p w14:paraId="4F247213" w14:textId="0629BC95" w:rsidR="00FE2913" w:rsidRPr="00B710C6" w:rsidRDefault="00FE2913" w:rsidP="00FE2913">
            <w:pPr>
              <w:tabs>
                <w:tab w:val="left" w:pos="284"/>
              </w:tabs>
              <w:spacing w:after="0" w:line="240" w:lineRule="auto"/>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1</w:t>
            </w:r>
            <w:r>
              <w:rPr>
                <w:rFonts w:eastAsiaTheme="minorEastAsia" w:cs="Calibri"/>
                <w:color w:val="000000" w:themeColor="text1"/>
                <w:sz w:val="16"/>
                <w:szCs w:val="16"/>
              </w:rPr>
              <w:t>1</w:t>
            </w:r>
            <w:r>
              <w:rPr>
                <w:rFonts w:eastAsiaTheme="minorEastAsia" w:cs="Calibri"/>
                <w:color w:val="000000" w:themeColor="text1"/>
                <w:sz w:val="16"/>
                <w:szCs w:val="16"/>
                <w:lang w:val="en-US"/>
              </w:rPr>
              <w:t>%</w:t>
            </w:r>
          </w:p>
        </w:tc>
        <w:tc>
          <w:tcPr>
            <w:tcW w:w="486" w:type="pct"/>
            <w:tcBorders>
              <w:left w:val="single" w:sz="18" w:space="0" w:color="FFC000"/>
              <w:right w:val="single" w:sz="4" w:space="0" w:color="FFC000"/>
            </w:tcBorders>
            <w:shd w:val="clear" w:color="auto" w:fill="FFFFFF" w:themeFill="background1"/>
            <w:vAlign w:val="center"/>
          </w:tcPr>
          <w:p w14:paraId="443932B2" w14:textId="16275F96" w:rsidR="00FE2913" w:rsidRPr="00B710C6" w:rsidRDefault="00FE2913" w:rsidP="00FE2913">
            <w:pPr>
              <w:tabs>
                <w:tab w:val="left" w:pos="284"/>
              </w:tabs>
              <w:spacing w:after="0" w:line="240" w:lineRule="auto"/>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772</w:t>
            </w:r>
          </w:p>
        </w:tc>
        <w:tc>
          <w:tcPr>
            <w:tcW w:w="486" w:type="pct"/>
            <w:tcBorders>
              <w:left w:val="single" w:sz="4" w:space="0" w:color="FFC000"/>
              <w:right w:val="single" w:sz="4" w:space="0" w:color="FFC000"/>
            </w:tcBorders>
            <w:shd w:val="clear" w:color="auto" w:fill="FFFFFF" w:themeFill="background1"/>
            <w:vAlign w:val="center"/>
          </w:tcPr>
          <w:p w14:paraId="615AB0CD" w14:textId="05FBF40C" w:rsidR="00FE2913" w:rsidRDefault="00FE2913" w:rsidP="00FE2913">
            <w:pPr>
              <w:tabs>
                <w:tab w:val="left" w:pos="284"/>
              </w:tabs>
              <w:spacing w:after="0" w:line="240" w:lineRule="auto"/>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727</w:t>
            </w:r>
          </w:p>
        </w:tc>
        <w:tc>
          <w:tcPr>
            <w:tcW w:w="484" w:type="pct"/>
            <w:tcBorders>
              <w:left w:val="single" w:sz="4" w:space="0" w:color="FFC000"/>
              <w:right w:val="single" w:sz="4" w:space="0" w:color="FFC000"/>
            </w:tcBorders>
            <w:shd w:val="clear" w:color="auto" w:fill="FFFFFF" w:themeFill="background1"/>
            <w:vAlign w:val="center"/>
          </w:tcPr>
          <w:p w14:paraId="6F3D9604" w14:textId="577E2335" w:rsidR="00FE2913" w:rsidRPr="00B710C6" w:rsidRDefault="00FE2913" w:rsidP="00FE2913">
            <w:pPr>
              <w:tabs>
                <w:tab w:val="left" w:pos="284"/>
              </w:tabs>
              <w:spacing w:after="0" w:line="240" w:lineRule="auto"/>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6%</w:t>
            </w:r>
          </w:p>
        </w:tc>
      </w:tr>
      <w:tr w:rsidR="00FE2913" w:rsidRPr="005744FA" w14:paraId="4BD533B2" w14:textId="77777777" w:rsidTr="0089533A">
        <w:trPr>
          <w:trHeight w:val="280"/>
        </w:trPr>
        <w:tc>
          <w:tcPr>
            <w:tcW w:w="2083" w:type="pct"/>
            <w:tcBorders>
              <w:left w:val="single" w:sz="4" w:space="0" w:color="FFC000"/>
              <w:right w:val="single" w:sz="4" w:space="0" w:color="FFC000"/>
            </w:tcBorders>
            <w:shd w:val="clear" w:color="auto" w:fill="FFFFFF" w:themeFill="background1"/>
            <w:tcMar>
              <w:right w:w="113" w:type="dxa"/>
            </w:tcMar>
            <w:vAlign w:val="center"/>
          </w:tcPr>
          <w:p w14:paraId="2A5BB702" w14:textId="4D31B97C" w:rsidR="00FE2913" w:rsidRPr="005744FA" w:rsidRDefault="00FE2913" w:rsidP="00FE2913">
            <w:pPr>
              <w:tabs>
                <w:tab w:val="left" w:pos="284"/>
              </w:tabs>
              <w:spacing w:after="0"/>
              <w:rPr>
                <w:rFonts w:eastAsiaTheme="minorEastAsia" w:cs="Calibri"/>
                <w:sz w:val="16"/>
                <w:szCs w:val="16"/>
              </w:rPr>
            </w:pPr>
            <w:r w:rsidRPr="007316DD">
              <w:rPr>
                <w:rFonts w:ascii="Calibri" w:eastAsiaTheme="minorEastAsia" w:hAnsi="Calibri" w:cs="Calibri"/>
                <w:sz w:val="16"/>
                <w:szCs w:val="16"/>
              </w:rPr>
              <w:t xml:space="preserve">Καθαρά Έσοδα Προμηθειών </w:t>
            </w:r>
          </w:p>
        </w:tc>
        <w:tc>
          <w:tcPr>
            <w:tcW w:w="486" w:type="pct"/>
            <w:tcBorders>
              <w:left w:val="single" w:sz="4" w:space="0" w:color="FFC000"/>
              <w:right w:val="single" w:sz="4" w:space="0" w:color="FFC000"/>
            </w:tcBorders>
            <w:shd w:val="clear" w:color="auto" w:fill="FFFFFF" w:themeFill="background1"/>
            <w:vAlign w:val="center"/>
          </w:tcPr>
          <w:p w14:paraId="1B888C5D" w14:textId="784FD0FD" w:rsidR="00FE2913" w:rsidRPr="00B710C6" w:rsidRDefault="00FE2913" w:rsidP="00FE2913">
            <w:pPr>
              <w:tabs>
                <w:tab w:val="left" w:pos="284"/>
              </w:tabs>
              <w:spacing w:after="0" w:line="240" w:lineRule="auto"/>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101</w:t>
            </w:r>
          </w:p>
        </w:tc>
        <w:tc>
          <w:tcPr>
            <w:tcW w:w="486" w:type="pct"/>
            <w:tcBorders>
              <w:left w:val="single" w:sz="4" w:space="0" w:color="FFC000"/>
              <w:right w:val="single" w:sz="4" w:space="0" w:color="FFC000"/>
            </w:tcBorders>
            <w:shd w:val="clear" w:color="auto" w:fill="FFFFFF" w:themeFill="background1"/>
            <w:vAlign w:val="center"/>
          </w:tcPr>
          <w:p w14:paraId="607D8DF2" w14:textId="1DCE8490" w:rsidR="00FE2913" w:rsidRPr="00B710C6" w:rsidRDefault="00FE2913" w:rsidP="00FE2913">
            <w:pPr>
              <w:tabs>
                <w:tab w:val="left" w:pos="284"/>
              </w:tabs>
              <w:spacing w:after="0" w:line="240" w:lineRule="auto"/>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76</w:t>
            </w:r>
          </w:p>
        </w:tc>
        <w:tc>
          <w:tcPr>
            <w:tcW w:w="488" w:type="pct"/>
            <w:tcBorders>
              <w:left w:val="single" w:sz="2" w:space="0" w:color="FFC000"/>
              <w:right w:val="single" w:sz="4" w:space="0" w:color="FFC000"/>
            </w:tcBorders>
            <w:shd w:val="clear" w:color="auto" w:fill="FFFFFF" w:themeFill="background1"/>
            <w:vAlign w:val="center"/>
          </w:tcPr>
          <w:p w14:paraId="4BBB65AA" w14:textId="6804A314" w:rsidR="00FE2913" w:rsidRPr="00B710C6" w:rsidRDefault="00FE2913" w:rsidP="00FE2913">
            <w:pPr>
              <w:tabs>
                <w:tab w:val="left" w:pos="284"/>
              </w:tabs>
              <w:spacing w:after="0" w:line="240" w:lineRule="auto"/>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33%</w:t>
            </w:r>
          </w:p>
        </w:tc>
        <w:tc>
          <w:tcPr>
            <w:tcW w:w="486" w:type="pct"/>
            <w:tcBorders>
              <w:left w:val="single" w:sz="18" w:space="0" w:color="FFC000"/>
              <w:right w:val="single" w:sz="4" w:space="0" w:color="FFC000"/>
            </w:tcBorders>
            <w:shd w:val="clear" w:color="auto" w:fill="FFFFFF" w:themeFill="background1"/>
            <w:vAlign w:val="center"/>
          </w:tcPr>
          <w:p w14:paraId="6F38020C" w14:textId="01FD6B37" w:rsidR="00FE2913" w:rsidRPr="00B710C6" w:rsidRDefault="00FE2913" w:rsidP="00FE2913">
            <w:pPr>
              <w:tabs>
                <w:tab w:val="left" w:pos="284"/>
              </w:tabs>
              <w:spacing w:after="0" w:line="240" w:lineRule="auto"/>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177</w:t>
            </w:r>
          </w:p>
        </w:tc>
        <w:tc>
          <w:tcPr>
            <w:tcW w:w="486" w:type="pct"/>
            <w:tcBorders>
              <w:left w:val="single" w:sz="4" w:space="0" w:color="FFC000"/>
              <w:right w:val="single" w:sz="4" w:space="0" w:color="FFC000"/>
            </w:tcBorders>
            <w:shd w:val="clear" w:color="auto" w:fill="FFFFFF" w:themeFill="background1"/>
            <w:vAlign w:val="center"/>
          </w:tcPr>
          <w:p w14:paraId="52B377A6" w14:textId="07B7A9DE" w:rsidR="00FE2913" w:rsidRDefault="00FE2913" w:rsidP="00FE2913">
            <w:pPr>
              <w:tabs>
                <w:tab w:val="left" w:pos="284"/>
              </w:tabs>
              <w:spacing w:after="0" w:line="240" w:lineRule="auto"/>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151</w:t>
            </w:r>
          </w:p>
        </w:tc>
        <w:tc>
          <w:tcPr>
            <w:tcW w:w="484" w:type="pct"/>
            <w:tcBorders>
              <w:left w:val="single" w:sz="4" w:space="0" w:color="FFC000"/>
              <w:right w:val="single" w:sz="4" w:space="0" w:color="FFC000"/>
            </w:tcBorders>
            <w:shd w:val="clear" w:color="auto" w:fill="FFFFFF" w:themeFill="background1"/>
            <w:vAlign w:val="center"/>
          </w:tcPr>
          <w:p w14:paraId="4A020DB8" w14:textId="0B036C82" w:rsidR="00FE2913" w:rsidRPr="00B710C6" w:rsidRDefault="00FE2913" w:rsidP="00FE2913">
            <w:pPr>
              <w:tabs>
                <w:tab w:val="left" w:pos="284"/>
              </w:tabs>
              <w:spacing w:after="0" w:line="240" w:lineRule="auto"/>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17%</w:t>
            </w:r>
          </w:p>
        </w:tc>
      </w:tr>
      <w:tr w:rsidR="00FE2913" w:rsidRPr="005744FA" w14:paraId="4C06F81C" w14:textId="77777777" w:rsidTr="0089533A">
        <w:trPr>
          <w:trHeight w:val="280"/>
        </w:trPr>
        <w:tc>
          <w:tcPr>
            <w:tcW w:w="2083" w:type="pct"/>
            <w:tcBorders>
              <w:left w:val="single" w:sz="4" w:space="0" w:color="FFC000"/>
              <w:right w:val="single" w:sz="4" w:space="0" w:color="FFC000"/>
            </w:tcBorders>
            <w:shd w:val="clear" w:color="auto" w:fill="FFFFFF" w:themeFill="background1"/>
            <w:tcMar>
              <w:right w:w="113" w:type="dxa"/>
            </w:tcMar>
            <w:vAlign w:val="center"/>
          </w:tcPr>
          <w:p w14:paraId="4D2D0410" w14:textId="10131D02" w:rsidR="00FE2913" w:rsidRPr="006074D1" w:rsidRDefault="00FE2913" w:rsidP="00FE2913">
            <w:pPr>
              <w:tabs>
                <w:tab w:val="left" w:pos="284"/>
              </w:tabs>
              <w:spacing w:after="0"/>
              <w:rPr>
                <w:rFonts w:eastAsiaTheme="minorEastAsia" w:cs="Calibri"/>
                <w:sz w:val="16"/>
                <w:szCs w:val="16"/>
              </w:rPr>
            </w:pPr>
            <w:r w:rsidRPr="007316DD">
              <w:rPr>
                <w:rFonts w:ascii="Calibri" w:eastAsiaTheme="minorEastAsia" w:hAnsi="Calibri" w:cs="Calibri"/>
                <w:sz w:val="16"/>
                <w:szCs w:val="16"/>
              </w:rPr>
              <w:t>Αποτελέσματα Εμπορ. &amp; Επενδ. Χαρ/κίου</w:t>
            </w:r>
          </w:p>
        </w:tc>
        <w:tc>
          <w:tcPr>
            <w:tcW w:w="486" w:type="pct"/>
            <w:tcBorders>
              <w:left w:val="single" w:sz="4" w:space="0" w:color="FFC000"/>
              <w:right w:val="single" w:sz="4" w:space="0" w:color="FFC000"/>
            </w:tcBorders>
            <w:shd w:val="clear" w:color="auto" w:fill="FFFFFF" w:themeFill="background1"/>
            <w:vAlign w:val="center"/>
          </w:tcPr>
          <w:p w14:paraId="5301AFD4" w14:textId="7DED037D" w:rsidR="00FE2913" w:rsidRPr="00B710C6" w:rsidRDefault="00FE2913" w:rsidP="00FE2913">
            <w:pPr>
              <w:tabs>
                <w:tab w:val="left" w:pos="284"/>
              </w:tabs>
              <w:spacing w:after="0" w:line="240" w:lineRule="auto"/>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85</w:t>
            </w:r>
          </w:p>
        </w:tc>
        <w:tc>
          <w:tcPr>
            <w:tcW w:w="486" w:type="pct"/>
            <w:tcBorders>
              <w:left w:val="single" w:sz="4" w:space="0" w:color="FFC000"/>
              <w:right w:val="single" w:sz="4" w:space="0" w:color="FFC000"/>
            </w:tcBorders>
            <w:shd w:val="clear" w:color="auto" w:fill="FFFFFF" w:themeFill="background1"/>
            <w:vAlign w:val="center"/>
          </w:tcPr>
          <w:p w14:paraId="02C345F1" w14:textId="42F52032" w:rsidR="00FE2913" w:rsidRPr="00B710C6" w:rsidRDefault="00FE2913" w:rsidP="00FE2913">
            <w:pPr>
              <w:tabs>
                <w:tab w:val="left" w:pos="284"/>
              </w:tabs>
              <w:spacing w:after="0" w:line="240" w:lineRule="auto"/>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403</w:t>
            </w:r>
          </w:p>
        </w:tc>
        <w:tc>
          <w:tcPr>
            <w:tcW w:w="488" w:type="pct"/>
            <w:tcBorders>
              <w:left w:val="single" w:sz="2" w:space="0" w:color="FFC000"/>
              <w:right w:val="single" w:sz="4" w:space="0" w:color="FFC000"/>
            </w:tcBorders>
            <w:shd w:val="clear" w:color="auto" w:fill="FFFFFF" w:themeFill="background1"/>
            <w:vAlign w:val="center"/>
          </w:tcPr>
          <w:p w14:paraId="185ECD93" w14:textId="61B6AE9C" w:rsidR="00FE2913" w:rsidRPr="00B710C6" w:rsidRDefault="00FE2913" w:rsidP="00FE2913">
            <w:pPr>
              <w:tabs>
                <w:tab w:val="left" w:pos="284"/>
              </w:tabs>
              <w:spacing w:after="0" w:line="240" w:lineRule="auto"/>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n/m</w:t>
            </w:r>
          </w:p>
        </w:tc>
        <w:tc>
          <w:tcPr>
            <w:tcW w:w="486" w:type="pct"/>
            <w:tcBorders>
              <w:left w:val="single" w:sz="18" w:space="0" w:color="FFC000"/>
              <w:right w:val="single" w:sz="4" w:space="0" w:color="FFC000"/>
            </w:tcBorders>
            <w:shd w:val="clear" w:color="auto" w:fill="FFFFFF" w:themeFill="background1"/>
            <w:vAlign w:val="center"/>
          </w:tcPr>
          <w:p w14:paraId="08013B87" w14:textId="456D4DDA" w:rsidR="00FE2913" w:rsidRPr="00B710C6" w:rsidRDefault="00FE2913" w:rsidP="00FE2913">
            <w:pPr>
              <w:tabs>
                <w:tab w:val="left" w:pos="284"/>
              </w:tabs>
              <w:spacing w:after="0" w:line="240" w:lineRule="auto"/>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488</w:t>
            </w:r>
          </w:p>
        </w:tc>
        <w:tc>
          <w:tcPr>
            <w:tcW w:w="486" w:type="pct"/>
            <w:tcBorders>
              <w:left w:val="single" w:sz="4" w:space="0" w:color="FFC000"/>
              <w:right w:val="single" w:sz="4" w:space="0" w:color="FFC000"/>
            </w:tcBorders>
            <w:shd w:val="clear" w:color="auto" w:fill="FFFFFF" w:themeFill="background1"/>
            <w:vAlign w:val="center"/>
          </w:tcPr>
          <w:p w14:paraId="32555A39" w14:textId="61D529E6" w:rsidR="00FE2913" w:rsidRPr="00C16398" w:rsidRDefault="00FE2913" w:rsidP="00FE2913">
            <w:pPr>
              <w:tabs>
                <w:tab w:val="left" w:pos="284"/>
              </w:tabs>
              <w:spacing w:after="0" w:line="240" w:lineRule="auto"/>
              <w:jc w:val="right"/>
              <w:rPr>
                <w:rFonts w:eastAsiaTheme="minorEastAsia" w:cs="Calibri"/>
                <w:sz w:val="16"/>
                <w:szCs w:val="16"/>
                <w:lang w:val="en-US"/>
              </w:rPr>
            </w:pPr>
            <w:r>
              <w:rPr>
                <w:rFonts w:eastAsiaTheme="minorEastAsia" w:cs="Calibri"/>
                <w:sz w:val="16"/>
                <w:szCs w:val="16"/>
                <w:lang w:val="en-US"/>
              </w:rPr>
              <w:t>18</w:t>
            </w:r>
          </w:p>
        </w:tc>
        <w:tc>
          <w:tcPr>
            <w:tcW w:w="484" w:type="pct"/>
            <w:tcBorders>
              <w:left w:val="single" w:sz="4" w:space="0" w:color="FFC000"/>
              <w:right w:val="single" w:sz="4" w:space="0" w:color="FFC000"/>
            </w:tcBorders>
            <w:shd w:val="clear" w:color="auto" w:fill="FFFFFF" w:themeFill="background1"/>
            <w:vAlign w:val="center"/>
          </w:tcPr>
          <w:p w14:paraId="0F730EAF" w14:textId="06A1F812" w:rsidR="00FE2913" w:rsidRPr="00B710C6" w:rsidRDefault="00BA5DF0" w:rsidP="00010330">
            <w:pPr>
              <w:tabs>
                <w:tab w:val="left" w:pos="284"/>
              </w:tabs>
              <w:spacing w:after="0" w:line="240" w:lineRule="auto"/>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n/m</w:t>
            </w:r>
          </w:p>
        </w:tc>
      </w:tr>
      <w:tr w:rsidR="00FE2913" w:rsidRPr="005744FA" w14:paraId="669378FC" w14:textId="77777777" w:rsidTr="0089533A">
        <w:trPr>
          <w:trHeight w:val="280"/>
        </w:trPr>
        <w:tc>
          <w:tcPr>
            <w:tcW w:w="2083" w:type="pct"/>
            <w:tcBorders>
              <w:left w:val="single" w:sz="4" w:space="0" w:color="FFC000"/>
              <w:right w:val="single" w:sz="4" w:space="0" w:color="FFC000"/>
            </w:tcBorders>
            <w:shd w:val="clear" w:color="auto" w:fill="auto"/>
            <w:tcMar>
              <w:right w:w="113" w:type="dxa"/>
            </w:tcMar>
            <w:vAlign w:val="center"/>
          </w:tcPr>
          <w:p w14:paraId="42692E47" w14:textId="1D00C66E" w:rsidR="00FE2913" w:rsidRPr="005744FA" w:rsidRDefault="00FE2913" w:rsidP="00FE2913">
            <w:pPr>
              <w:tabs>
                <w:tab w:val="left" w:pos="284"/>
              </w:tabs>
              <w:spacing w:after="0"/>
              <w:rPr>
                <w:rFonts w:eastAsiaTheme="minorEastAsia" w:cs="Calibri"/>
                <w:sz w:val="16"/>
                <w:szCs w:val="16"/>
                <w:lang w:val="en-GB"/>
              </w:rPr>
            </w:pPr>
            <w:r w:rsidRPr="007316DD">
              <w:rPr>
                <w:rFonts w:ascii="Calibri" w:eastAsiaTheme="minorEastAsia" w:hAnsi="Calibri" w:cs="Calibri"/>
                <w:sz w:val="16"/>
                <w:szCs w:val="16"/>
              </w:rPr>
              <w:t>Λοιπά Λειτουργικά Έσοδα &amp; Μερίσματα</w:t>
            </w:r>
          </w:p>
        </w:tc>
        <w:tc>
          <w:tcPr>
            <w:tcW w:w="486" w:type="pct"/>
            <w:tcBorders>
              <w:left w:val="single" w:sz="4" w:space="0" w:color="FFC000"/>
              <w:right w:val="single" w:sz="4" w:space="0" w:color="FFC000"/>
            </w:tcBorders>
            <w:shd w:val="clear" w:color="auto" w:fill="auto"/>
            <w:vAlign w:val="center"/>
          </w:tcPr>
          <w:p w14:paraId="5821270B" w14:textId="2B74CE65" w:rsidR="00FE2913" w:rsidRPr="00B710C6" w:rsidRDefault="00FE2913" w:rsidP="00FE2913">
            <w:pPr>
              <w:tabs>
                <w:tab w:val="left" w:pos="284"/>
              </w:tabs>
              <w:spacing w:after="0" w:line="240" w:lineRule="auto"/>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13</w:t>
            </w:r>
          </w:p>
        </w:tc>
        <w:tc>
          <w:tcPr>
            <w:tcW w:w="486" w:type="pct"/>
            <w:tcBorders>
              <w:left w:val="single" w:sz="4" w:space="0" w:color="FFC000"/>
              <w:right w:val="single" w:sz="4" w:space="0" w:color="FFC000"/>
            </w:tcBorders>
            <w:shd w:val="clear" w:color="auto" w:fill="auto"/>
            <w:vAlign w:val="center"/>
          </w:tcPr>
          <w:p w14:paraId="0AE3B541" w14:textId="271DFB60" w:rsidR="00FE2913" w:rsidRPr="00B710C6" w:rsidRDefault="00FE2913" w:rsidP="00FE2913">
            <w:pPr>
              <w:tabs>
                <w:tab w:val="left" w:pos="284"/>
              </w:tabs>
              <w:spacing w:after="0" w:line="240" w:lineRule="auto"/>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14</w:t>
            </w:r>
          </w:p>
        </w:tc>
        <w:tc>
          <w:tcPr>
            <w:tcW w:w="488" w:type="pct"/>
            <w:tcBorders>
              <w:left w:val="single" w:sz="2" w:space="0" w:color="FFC000"/>
              <w:right w:val="single" w:sz="4" w:space="0" w:color="FFC000"/>
            </w:tcBorders>
            <w:shd w:val="clear" w:color="auto" w:fill="auto"/>
            <w:vAlign w:val="center"/>
          </w:tcPr>
          <w:p w14:paraId="5CAD3370" w14:textId="177E7A54" w:rsidR="00FE2913" w:rsidRPr="00B710C6" w:rsidRDefault="00FE2913" w:rsidP="00FE2913">
            <w:pPr>
              <w:tabs>
                <w:tab w:val="left" w:pos="284"/>
              </w:tabs>
              <w:spacing w:after="0" w:line="240" w:lineRule="auto"/>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-6%</w:t>
            </w:r>
          </w:p>
        </w:tc>
        <w:tc>
          <w:tcPr>
            <w:tcW w:w="486" w:type="pct"/>
            <w:tcBorders>
              <w:left w:val="single" w:sz="18" w:space="0" w:color="FFC000"/>
              <w:right w:val="single" w:sz="4" w:space="0" w:color="FFC000"/>
            </w:tcBorders>
            <w:shd w:val="clear" w:color="auto" w:fill="auto"/>
            <w:vAlign w:val="center"/>
          </w:tcPr>
          <w:p w14:paraId="7B9B2BB2" w14:textId="0B701E45" w:rsidR="00FE2913" w:rsidRPr="00B710C6" w:rsidRDefault="00FE2913" w:rsidP="00FE2913">
            <w:pPr>
              <w:tabs>
                <w:tab w:val="left" w:pos="284"/>
              </w:tabs>
              <w:spacing w:after="0" w:line="240" w:lineRule="auto"/>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27</w:t>
            </w:r>
          </w:p>
        </w:tc>
        <w:tc>
          <w:tcPr>
            <w:tcW w:w="486" w:type="pct"/>
            <w:tcBorders>
              <w:left w:val="single" w:sz="4" w:space="0" w:color="FFC000"/>
              <w:right w:val="single" w:sz="4" w:space="0" w:color="FFC000"/>
            </w:tcBorders>
            <w:vAlign w:val="center"/>
          </w:tcPr>
          <w:p w14:paraId="0AE84DF8" w14:textId="017772AE" w:rsidR="00FE2913" w:rsidRDefault="00FE2913" w:rsidP="00FE2913">
            <w:pPr>
              <w:tabs>
                <w:tab w:val="left" w:pos="284"/>
              </w:tabs>
              <w:spacing w:after="0" w:line="240" w:lineRule="auto"/>
              <w:jc w:val="right"/>
              <w:rPr>
                <w:rFonts w:eastAsiaTheme="minorEastAsia" w:cs="Calibri"/>
                <w:sz w:val="16"/>
                <w:szCs w:val="16"/>
                <w:lang w:val="en-US"/>
              </w:rPr>
            </w:pPr>
            <w:r>
              <w:rPr>
                <w:rFonts w:eastAsiaTheme="minorEastAsia" w:cs="Calibri"/>
                <w:sz w:val="16"/>
                <w:szCs w:val="16"/>
                <w:lang w:val="en-US"/>
              </w:rPr>
              <w:t>25</w:t>
            </w:r>
          </w:p>
        </w:tc>
        <w:tc>
          <w:tcPr>
            <w:tcW w:w="484" w:type="pct"/>
            <w:tcBorders>
              <w:left w:val="single" w:sz="4" w:space="0" w:color="FFC000"/>
              <w:right w:val="single" w:sz="4" w:space="0" w:color="FFC000"/>
            </w:tcBorders>
            <w:shd w:val="clear" w:color="auto" w:fill="auto"/>
            <w:vAlign w:val="center"/>
          </w:tcPr>
          <w:p w14:paraId="0D03D1C7" w14:textId="1E14FBCB" w:rsidR="00FE2913" w:rsidRPr="00B710C6" w:rsidRDefault="00FE2913" w:rsidP="00FE2913">
            <w:pPr>
              <w:tabs>
                <w:tab w:val="left" w:pos="284"/>
              </w:tabs>
              <w:spacing w:after="0" w:line="240" w:lineRule="auto"/>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10%</w:t>
            </w:r>
          </w:p>
        </w:tc>
      </w:tr>
      <w:tr w:rsidR="00703B9A" w:rsidRPr="005744FA" w14:paraId="0B24D330" w14:textId="77777777" w:rsidTr="004018F6">
        <w:trPr>
          <w:trHeight w:val="300"/>
        </w:trPr>
        <w:tc>
          <w:tcPr>
            <w:tcW w:w="2083" w:type="pct"/>
            <w:tcBorders>
              <w:left w:val="single" w:sz="4" w:space="0" w:color="FFC000"/>
              <w:right w:val="single" w:sz="4" w:space="0" w:color="FFC000"/>
            </w:tcBorders>
            <w:shd w:val="clear" w:color="auto" w:fill="auto"/>
            <w:tcMar>
              <w:right w:w="113" w:type="dxa"/>
            </w:tcMar>
            <w:vAlign w:val="center"/>
          </w:tcPr>
          <w:p w14:paraId="0BA70965" w14:textId="77777777" w:rsidR="00703B9A" w:rsidRDefault="00703B9A" w:rsidP="003D7C18">
            <w:pPr>
              <w:tabs>
                <w:tab w:val="left" w:pos="284"/>
              </w:tabs>
              <w:spacing w:after="0"/>
              <w:rPr>
                <w:rFonts w:eastAsiaTheme="minorEastAsia" w:cs="Calibri"/>
                <w:color w:val="003C96" w:themeColor="text2"/>
                <w:sz w:val="4"/>
                <w:szCs w:val="4"/>
                <w:lang w:val="en-US"/>
              </w:rPr>
            </w:pPr>
          </w:p>
          <w:p w14:paraId="42955681" w14:textId="5BEC19CF" w:rsidR="004018F6" w:rsidRPr="005744FA" w:rsidRDefault="004018F6" w:rsidP="003D7C18">
            <w:pPr>
              <w:tabs>
                <w:tab w:val="left" w:pos="284"/>
              </w:tabs>
              <w:spacing w:after="0"/>
              <w:rPr>
                <w:rFonts w:eastAsiaTheme="minorEastAsia" w:cs="Calibri"/>
                <w:color w:val="003C96" w:themeColor="text2"/>
                <w:sz w:val="4"/>
                <w:szCs w:val="4"/>
                <w:lang w:val="en-US"/>
              </w:rPr>
            </w:pPr>
          </w:p>
        </w:tc>
        <w:tc>
          <w:tcPr>
            <w:tcW w:w="486" w:type="pct"/>
            <w:tcBorders>
              <w:left w:val="single" w:sz="4" w:space="0" w:color="FFC000"/>
              <w:right w:val="single" w:sz="4" w:space="0" w:color="FFC000"/>
            </w:tcBorders>
            <w:shd w:val="clear" w:color="auto" w:fill="auto"/>
            <w:vAlign w:val="center"/>
          </w:tcPr>
          <w:p w14:paraId="76246F79" w14:textId="77777777" w:rsidR="00703B9A" w:rsidRPr="005744FA" w:rsidRDefault="00703B9A" w:rsidP="003D7C18">
            <w:pPr>
              <w:tabs>
                <w:tab w:val="left" w:pos="284"/>
              </w:tabs>
              <w:spacing w:after="0"/>
              <w:jc w:val="right"/>
              <w:rPr>
                <w:rFonts w:eastAsiaTheme="minorEastAsia" w:cs="Calibri"/>
                <w:color w:val="003C96" w:themeColor="text2"/>
                <w:sz w:val="4"/>
                <w:szCs w:val="4"/>
                <w:lang w:val="en-US"/>
              </w:rPr>
            </w:pPr>
          </w:p>
        </w:tc>
        <w:tc>
          <w:tcPr>
            <w:tcW w:w="486" w:type="pct"/>
            <w:tcBorders>
              <w:left w:val="single" w:sz="4" w:space="0" w:color="FFC000"/>
              <w:right w:val="single" w:sz="4" w:space="0" w:color="FFC000"/>
            </w:tcBorders>
            <w:shd w:val="clear" w:color="auto" w:fill="auto"/>
            <w:vAlign w:val="center"/>
          </w:tcPr>
          <w:p w14:paraId="6ED56246" w14:textId="77777777" w:rsidR="00703B9A" w:rsidRPr="005744FA" w:rsidRDefault="00703B9A" w:rsidP="003D7C18">
            <w:pPr>
              <w:tabs>
                <w:tab w:val="left" w:pos="284"/>
              </w:tabs>
              <w:spacing w:after="0"/>
              <w:jc w:val="right"/>
              <w:rPr>
                <w:rFonts w:eastAsiaTheme="minorEastAsia" w:cs="Calibri"/>
                <w:color w:val="003C96" w:themeColor="text2"/>
                <w:sz w:val="4"/>
                <w:szCs w:val="4"/>
                <w:lang w:val="en-US"/>
              </w:rPr>
            </w:pPr>
          </w:p>
        </w:tc>
        <w:tc>
          <w:tcPr>
            <w:tcW w:w="488" w:type="pct"/>
            <w:tcBorders>
              <w:left w:val="single" w:sz="2" w:space="0" w:color="FFC000"/>
              <w:right w:val="single" w:sz="4" w:space="0" w:color="FFC000"/>
            </w:tcBorders>
            <w:shd w:val="clear" w:color="auto" w:fill="auto"/>
            <w:vAlign w:val="center"/>
          </w:tcPr>
          <w:p w14:paraId="0B28183C" w14:textId="77777777" w:rsidR="00703B9A" w:rsidRPr="00744269" w:rsidRDefault="00703B9A" w:rsidP="003D7C18">
            <w:pPr>
              <w:tabs>
                <w:tab w:val="left" w:pos="284"/>
              </w:tabs>
              <w:spacing w:after="0"/>
              <w:jc w:val="right"/>
              <w:rPr>
                <w:rFonts w:eastAsiaTheme="minorEastAsia" w:cs="Calibri"/>
                <w:color w:val="003C96" w:themeColor="text2"/>
                <w:sz w:val="4"/>
                <w:szCs w:val="4"/>
                <w:lang w:val="en-US"/>
              </w:rPr>
            </w:pPr>
          </w:p>
        </w:tc>
        <w:tc>
          <w:tcPr>
            <w:tcW w:w="486" w:type="pct"/>
            <w:tcBorders>
              <w:left w:val="single" w:sz="18" w:space="0" w:color="FFC000"/>
              <w:right w:val="single" w:sz="4" w:space="0" w:color="FFC000"/>
            </w:tcBorders>
            <w:shd w:val="clear" w:color="auto" w:fill="auto"/>
            <w:vAlign w:val="center"/>
          </w:tcPr>
          <w:p w14:paraId="1C367291" w14:textId="77777777" w:rsidR="00703B9A" w:rsidRPr="005744FA" w:rsidRDefault="00703B9A" w:rsidP="003D7C18">
            <w:pPr>
              <w:tabs>
                <w:tab w:val="left" w:pos="284"/>
              </w:tabs>
              <w:spacing w:after="0"/>
              <w:jc w:val="right"/>
              <w:rPr>
                <w:rFonts w:eastAsiaTheme="minorEastAsia" w:cs="Calibri"/>
                <w:color w:val="003C96" w:themeColor="text2"/>
                <w:sz w:val="4"/>
                <w:szCs w:val="4"/>
                <w:lang w:val="en-US"/>
              </w:rPr>
            </w:pPr>
          </w:p>
        </w:tc>
        <w:tc>
          <w:tcPr>
            <w:tcW w:w="486" w:type="pct"/>
            <w:tcBorders>
              <w:left w:val="single" w:sz="4" w:space="0" w:color="FFC000"/>
              <w:right w:val="single" w:sz="4" w:space="0" w:color="FFC000"/>
            </w:tcBorders>
            <w:vAlign w:val="center"/>
          </w:tcPr>
          <w:p w14:paraId="6FD5E410" w14:textId="77777777" w:rsidR="00703B9A" w:rsidRPr="00744269" w:rsidRDefault="00703B9A" w:rsidP="003D7C18">
            <w:pPr>
              <w:tabs>
                <w:tab w:val="left" w:pos="284"/>
              </w:tabs>
              <w:spacing w:after="0"/>
              <w:jc w:val="right"/>
              <w:rPr>
                <w:rFonts w:eastAsiaTheme="minorEastAsia" w:cs="Calibri"/>
                <w:color w:val="003C96" w:themeColor="text2"/>
                <w:sz w:val="4"/>
                <w:szCs w:val="4"/>
                <w:lang w:val="en-US"/>
              </w:rPr>
            </w:pPr>
          </w:p>
        </w:tc>
        <w:tc>
          <w:tcPr>
            <w:tcW w:w="484" w:type="pct"/>
            <w:tcBorders>
              <w:left w:val="single" w:sz="4" w:space="0" w:color="FFC000"/>
              <w:right w:val="single" w:sz="4" w:space="0" w:color="FFC000"/>
            </w:tcBorders>
            <w:shd w:val="clear" w:color="auto" w:fill="auto"/>
            <w:vAlign w:val="center"/>
          </w:tcPr>
          <w:p w14:paraId="7B9B2D46" w14:textId="77777777" w:rsidR="00703B9A" w:rsidRPr="00744269" w:rsidRDefault="00703B9A" w:rsidP="003D7C18">
            <w:pPr>
              <w:tabs>
                <w:tab w:val="left" w:pos="284"/>
              </w:tabs>
              <w:spacing w:after="0"/>
              <w:jc w:val="right"/>
              <w:rPr>
                <w:rFonts w:eastAsiaTheme="minorEastAsia" w:cs="Calibri"/>
                <w:color w:val="003C96" w:themeColor="text2"/>
                <w:sz w:val="4"/>
                <w:szCs w:val="4"/>
                <w:lang w:val="en-US"/>
              </w:rPr>
            </w:pPr>
          </w:p>
        </w:tc>
      </w:tr>
      <w:tr w:rsidR="00FE2913" w:rsidRPr="005744FA" w14:paraId="2BFED29B" w14:textId="77777777" w:rsidTr="0089533A">
        <w:trPr>
          <w:trHeight w:val="252"/>
        </w:trPr>
        <w:tc>
          <w:tcPr>
            <w:tcW w:w="2083" w:type="pct"/>
            <w:tcBorders>
              <w:left w:val="single" w:sz="4" w:space="0" w:color="FFC000"/>
              <w:right w:val="single" w:sz="4" w:space="0" w:color="FFC000"/>
            </w:tcBorders>
            <w:shd w:val="clear" w:color="auto" w:fill="auto"/>
            <w:tcMar>
              <w:right w:w="113" w:type="dxa"/>
            </w:tcMar>
            <w:vAlign w:val="center"/>
          </w:tcPr>
          <w:p w14:paraId="1EC69C8D" w14:textId="58EF8F22" w:rsidR="00FE2913" w:rsidRPr="005744FA" w:rsidRDefault="00FE2913" w:rsidP="00FE2913">
            <w:pPr>
              <w:tabs>
                <w:tab w:val="left" w:pos="284"/>
              </w:tabs>
              <w:spacing w:after="0"/>
              <w:rPr>
                <w:rFonts w:eastAsiaTheme="minorEastAsia" w:cs="Calibri"/>
                <w:sz w:val="16"/>
                <w:szCs w:val="16"/>
                <w:lang w:val="en-US"/>
              </w:rPr>
            </w:pPr>
            <w:r w:rsidRPr="007316DD">
              <w:rPr>
                <w:rFonts w:ascii="Calibri" w:eastAsiaTheme="minorEastAsia" w:hAnsi="Calibri" w:cs="Calibri"/>
                <w:sz w:val="16"/>
                <w:szCs w:val="16"/>
              </w:rPr>
              <w:t>Σύνολο Λειτουργικών Εσόδων</w:t>
            </w:r>
          </w:p>
        </w:tc>
        <w:tc>
          <w:tcPr>
            <w:tcW w:w="486" w:type="pct"/>
            <w:tcBorders>
              <w:left w:val="single" w:sz="4" w:space="0" w:color="FFC000"/>
              <w:right w:val="single" w:sz="4" w:space="0" w:color="FFC000"/>
            </w:tcBorders>
            <w:shd w:val="clear" w:color="auto" w:fill="auto"/>
            <w:vAlign w:val="center"/>
          </w:tcPr>
          <w:p w14:paraId="447084F8" w14:textId="453FDC88" w:rsidR="00FE2913" w:rsidRPr="00CB7934"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606</w:t>
            </w:r>
          </w:p>
        </w:tc>
        <w:tc>
          <w:tcPr>
            <w:tcW w:w="486" w:type="pct"/>
            <w:tcBorders>
              <w:left w:val="single" w:sz="4" w:space="0" w:color="FFC000"/>
              <w:right w:val="single" w:sz="4" w:space="0" w:color="FFC000"/>
            </w:tcBorders>
            <w:shd w:val="clear" w:color="auto" w:fill="auto"/>
            <w:vAlign w:val="center"/>
          </w:tcPr>
          <w:p w14:paraId="2BA9FD54" w14:textId="0CCDF552" w:rsidR="00FE2913" w:rsidRPr="00DF379A" w:rsidRDefault="00FE2913" w:rsidP="00FE2913">
            <w:pPr>
              <w:tabs>
                <w:tab w:val="left" w:pos="284"/>
              </w:tabs>
              <w:spacing w:after="0"/>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859</w:t>
            </w:r>
          </w:p>
        </w:tc>
        <w:tc>
          <w:tcPr>
            <w:tcW w:w="488" w:type="pct"/>
            <w:tcBorders>
              <w:left w:val="single" w:sz="2" w:space="0" w:color="FFC000"/>
              <w:right w:val="single" w:sz="4" w:space="0" w:color="FFC000"/>
            </w:tcBorders>
            <w:shd w:val="clear" w:color="auto" w:fill="auto"/>
            <w:vAlign w:val="center"/>
          </w:tcPr>
          <w:p w14:paraId="33685430" w14:textId="11CD6BAB" w:rsidR="00FE2913" w:rsidRPr="00744269"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-29%</w:t>
            </w:r>
          </w:p>
        </w:tc>
        <w:tc>
          <w:tcPr>
            <w:tcW w:w="486" w:type="pct"/>
            <w:tcBorders>
              <w:left w:val="single" w:sz="18" w:space="0" w:color="FFC000"/>
              <w:right w:val="single" w:sz="4" w:space="0" w:color="FFC000"/>
            </w:tcBorders>
            <w:shd w:val="clear" w:color="auto" w:fill="auto"/>
            <w:vAlign w:val="center"/>
          </w:tcPr>
          <w:p w14:paraId="447272A7" w14:textId="2078DFF2" w:rsidR="00FE2913" w:rsidRPr="005744FA"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1,464</w:t>
            </w:r>
          </w:p>
        </w:tc>
        <w:tc>
          <w:tcPr>
            <w:tcW w:w="486" w:type="pct"/>
            <w:tcBorders>
              <w:left w:val="single" w:sz="4" w:space="0" w:color="FFC000"/>
              <w:right w:val="single" w:sz="4" w:space="0" w:color="FFC000"/>
            </w:tcBorders>
            <w:vAlign w:val="center"/>
          </w:tcPr>
          <w:p w14:paraId="75A559DD" w14:textId="5E8F4F30" w:rsidR="00FE2913"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922</w:t>
            </w:r>
          </w:p>
        </w:tc>
        <w:tc>
          <w:tcPr>
            <w:tcW w:w="484" w:type="pct"/>
            <w:tcBorders>
              <w:left w:val="single" w:sz="4" w:space="0" w:color="FFC000"/>
              <w:right w:val="single" w:sz="4" w:space="0" w:color="FFC000"/>
            </w:tcBorders>
            <w:shd w:val="clear" w:color="auto" w:fill="auto"/>
            <w:vAlign w:val="center"/>
          </w:tcPr>
          <w:p w14:paraId="63757463" w14:textId="67FBF9E9" w:rsidR="00FE2913" w:rsidRPr="00744269"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59%</w:t>
            </w:r>
          </w:p>
        </w:tc>
      </w:tr>
      <w:tr w:rsidR="00FE2913" w:rsidRPr="005744FA" w14:paraId="2AD64C16" w14:textId="77777777" w:rsidTr="00F41D49">
        <w:trPr>
          <w:trHeight w:val="63"/>
        </w:trPr>
        <w:tc>
          <w:tcPr>
            <w:tcW w:w="2083" w:type="pct"/>
            <w:tcBorders>
              <w:left w:val="single" w:sz="4" w:space="0" w:color="FFC000"/>
              <w:right w:val="single" w:sz="4" w:space="0" w:color="FFC000"/>
            </w:tcBorders>
            <w:shd w:val="clear" w:color="auto" w:fill="auto"/>
            <w:tcMar>
              <w:right w:w="113" w:type="dxa"/>
            </w:tcMar>
          </w:tcPr>
          <w:p w14:paraId="69E25993" w14:textId="77874509" w:rsidR="00FE2913" w:rsidRPr="004018F6" w:rsidRDefault="00FE2913" w:rsidP="00FE2913">
            <w:pPr>
              <w:tabs>
                <w:tab w:val="left" w:pos="284"/>
              </w:tabs>
              <w:spacing w:after="0"/>
              <w:rPr>
                <w:rFonts w:cs="Calibri"/>
                <w:color w:val="003C96" w:themeColor="text2"/>
                <w:sz w:val="16"/>
                <w:szCs w:val="16"/>
                <w:vertAlign w:val="superscript"/>
              </w:rPr>
            </w:pPr>
            <w:r w:rsidRPr="007316DD">
              <w:rPr>
                <w:rFonts w:eastAsiaTheme="minorEastAsia" w:cs="Calibri"/>
                <w:color w:val="003C96" w:themeColor="text2"/>
                <w:sz w:val="16"/>
                <w:szCs w:val="16"/>
                <w:lang w:val="en-US"/>
              </w:rPr>
              <w:t>-</w:t>
            </w:r>
            <w:r>
              <w:rPr>
                <w:rFonts w:cs="Calibri"/>
                <w:color w:val="003C96" w:themeColor="text2"/>
                <w:sz w:val="16"/>
                <w:szCs w:val="16"/>
              </w:rPr>
              <w:t xml:space="preserve"> εξαιρουμένων εκτάκτων εσ</w:t>
            </w:r>
            <w:r w:rsidRPr="007316DD">
              <w:rPr>
                <w:rFonts w:cs="Calibri"/>
                <w:color w:val="003C96" w:themeColor="text2"/>
                <w:sz w:val="16"/>
                <w:szCs w:val="16"/>
              </w:rPr>
              <w:t xml:space="preserve">όδων </w:t>
            </w:r>
            <w:r w:rsidRPr="007316DD">
              <w:rPr>
                <w:rFonts w:cs="Calibri"/>
                <w:color w:val="003C96" w:themeColor="text2"/>
                <w:sz w:val="16"/>
                <w:szCs w:val="16"/>
                <w:vertAlign w:val="superscript"/>
              </w:rPr>
              <w:t>1</w:t>
            </w:r>
          </w:p>
        </w:tc>
        <w:tc>
          <w:tcPr>
            <w:tcW w:w="486" w:type="pct"/>
            <w:tcBorders>
              <w:left w:val="single" w:sz="4" w:space="0" w:color="FFC000"/>
              <w:right w:val="single" w:sz="4" w:space="0" w:color="FFC000"/>
            </w:tcBorders>
            <w:shd w:val="clear" w:color="auto" w:fill="auto"/>
            <w:vAlign w:val="center"/>
          </w:tcPr>
          <w:p w14:paraId="2B93515E" w14:textId="09422D6C" w:rsidR="00FE2913" w:rsidRPr="008E0EBD"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606</w:t>
            </w:r>
          </w:p>
        </w:tc>
        <w:tc>
          <w:tcPr>
            <w:tcW w:w="486" w:type="pct"/>
            <w:tcBorders>
              <w:left w:val="single" w:sz="4" w:space="0" w:color="FFC000"/>
              <w:right w:val="single" w:sz="4" w:space="0" w:color="FFC000"/>
            </w:tcBorders>
            <w:shd w:val="clear" w:color="auto" w:fill="auto"/>
            <w:vAlign w:val="center"/>
          </w:tcPr>
          <w:p w14:paraId="4DA54B61" w14:textId="746E639C" w:rsidR="00FE2913" w:rsidRPr="008E0EBD"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472</w:t>
            </w:r>
          </w:p>
        </w:tc>
        <w:tc>
          <w:tcPr>
            <w:tcW w:w="488" w:type="pct"/>
            <w:tcBorders>
              <w:left w:val="single" w:sz="2" w:space="0" w:color="FFC000"/>
              <w:right w:val="single" w:sz="4" w:space="0" w:color="FFC000"/>
            </w:tcBorders>
            <w:shd w:val="clear" w:color="auto" w:fill="auto"/>
            <w:vAlign w:val="center"/>
          </w:tcPr>
          <w:p w14:paraId="5949A5F9" w14:textId="2314CD62" w:rsidR="00FE2913" w:rsidRPr="008E0EBD"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28%</w:t>
            </w:r>
          </w:p>
        </w:tc>
        <w:tc>
          <w:tcPr>
            <w:tcW w:w="486" w:type="pct"/>
            <w:tcBorders>
              <w:left w:val="single" w:sz="18" w:space="0" w:color="FFC000"/>
              <w:right w:val="single" w:sz="4" w:space="0" w:color="FFC000"/>
            </w:tcBorders>
            <w:shd w:val="clear" w:color="auto" w:fill="auto"/>
            <w:vAlign w:val="center"/>
          </w:tcPr>
          <w:p w14:paraId="79712436" w14:textId="633F64F0" w:rsidR="00FE2913" w:rsidRPr="008E0EBD"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1,077</w:t>
            </w:r>
          </w:p>
        </w:tc>
        <w:tc>
          <w:tcPr>
            <w:tcW w:w="486" w:type="pct"/>
            <w:tcBorders>
              <w:left w:val="single" w:sz="4" w:space="0" w:color="FFC000"/>
              <w:right w:val="single" w:sz="4" w:space="0" w:color="FFC000"/>
            </w:tcBorders>
            <w:vAlign w:val="center"/>
          </w:tcPr>
          <w:p w14:paraId="048714E5" w14:textId="1326AFAA" w:rsidR="00FE2913"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922</w:t>
            </w:r>
          </w:p>
        </w:tc>
        <w:tc>
          <w:tcPr>
            <w:tcW w:w="484" w:type="pct"/>
            <w:tcBorders>
              <w:left w:val="single" w:sz="4" w:space="0" w:color="FFC000"/>
              <w:right w:val="single" w:sz="4" w:space="0" w:color="FFC000"/>
            </w:tcBorders>
            <w:shd w:val="clear" w:color="auto" w:fill="auto"/>
            <w:vAlign w:val="center"/>
          </w:tcPr>
          <w:p w14:paraId="4D39509C" w14:textId="4AECDE36" w:rsidR="00FE2913" w:rsidRPr="008E0EBD"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17%</w:t>
            </w:r>
          </w:p>
        </w:tc>
      </w:tr>
      <w:tr w:rsidR="00703B9A" w:rsidRPr="005744FA" w14:paraId="02A48862" w14:textId="77777777" w:rsidTr="004018F6">
        <w:trPr>
          <w:trHeight w:val="54"/>
        </w:trPr>
        <w:tc>
          <w:tcPr>
            <w:tcW w:w="2083" w:type="pct"/>
            <w:tcBorders>
              <w:left w:val="single" w:sz="4" w:space="0" w:color="FFC000"/>
              <w:right w:val="single" w:sz="4" w:space="0" w:color="FFC000"/>
            </w:tcBorders>
            <w:shd w:val="clear" w:color="auto" w:fill="auto"/>
            <w:tcMar>
              <w:right w:w="113" w:type="dxa"/>
            </w:tcMar>
            <w:vAlign w:val="center"/>
          </w:tcPr>
          <w:p w14:paraId="7A31B28B" w14:textId="77777777" w:rsidR="00703B9A" w:rsidRPr="005744FA" w:rsidRDefault="00703B9A" w:rsidP="003D7C18">
            <w:pPr>
              <w:tabs>
                <w:tab w:val="left" w:pos="284"/>
              </w:tabs>
              <w:spacing w:after="0"/>
              <w:rPr>
                <w:rFonts w:eastAsiaTheme="minorEastAsia" w:cs="Calibri"/>
                <w:sz w:val="16"/>
                <w:szCs w:val="16"/>
                <w:lang w:val="en-US"/>
              </w:rPr>
            </w:pPr>
          </w:p>
        </w:tc>
        <w:tc>
          <w:tcPr>
            <w:tcW w:w="486" w:type="pct"/>
            <w:tcBorders>
              <w:left w:val="single" w:sz="4" w:space="0" w:color="FFC000"/>
              <w:right w:val="single" w:sz="4" w:space="0" w:color="FFC000"/>
            </w:tcBorders>
            <w:shd w:val="clear" w:color="auto" w:fill="auto"/>
            <w:vAlign w:val="center"/>
          </w:tcPr>
          <w:p w14:paraId="5F9B746E" w14:textId="77777777" w:rsidR="00703B9A" w:rsidRPr="005744FA" w:rsidRDefault="00703B9A" w:rsidP="003D7C18">
            <w:pPr>
              <w:tabs>
                <w:tab w:val="left" w:pos="284"/>
              </w:tabs>
              <w:spacing w:after="0"/>
              <w:jc w:val="right"/>
              <w:rPr>
                <w:rFonts w:eastAsiaTheme="minorEastAsia" w:cs="Calibri"/>
                <w:sz w:val="16"/>
                <w:szCs w:val="16"/>
                <w:lang w:val="en-US"/>
              </w:rPr>
            </w:pPr>
          </w:p>
        </w:tc>
        <w:tc>
          <w:tcPr>
            <w:tcW w:w="486" w:type="pct"/>
            <w:tcBorders>
              <w:left w:val="single" w:sz="4" w:space="0" w:color="FFC000"/>
              <w:right w:val="single" w:sz="4" w:space="0" w:color="FFC000"/>
            </w:tcBorders>
            <w:shd w:val="clear" w:color="auto" w:fill="auto"/>
            <w:vAlign w:val="center"/>
          </w:tcPr>
          <w:p w14:paraId="69CE9C91" w14:textId="77777777" w:rsidR="00703B9A" w:rsidRPr="005744FA" w:rsidRDefault="00703B9A" w:rsidP="003D7C18">
            <w:pPr>
              <w:tabs>
                <w:tab w:val="left" w:pos="284"/>
              </w:tabs>
              <w:spacing w:after="0"/>
              <w:jc w:val="right"/>
              <w:rPr>
                <w:rFonts w:eastAsiaTheme="minorEastAsia" w:cs="Calibri"/>
                <w:color w:val="000000" w:themeColor="text1"/>
                <w:sz w:val="16"/>
                <w:szCs w:val="16"/>
                <w:lang w:val="en-US"/>
              </w:rPr>
            </w:pPr>
          </w:p>
        </w:tc>
        <w:tc>
          <w:tcPr>
            <w:tcW w:w="488" w:type="pct"/>
            <w:tcBorders>
              <w:left w:val="single" w:sz="2" w:space="0" w:color="FFC000"/>
              <w:right w:val="single" w:sz="4" w:space="0" w:color="FFC000"/>
            </w:tcBorders>
            <w:shd w:val="clear" w:color="auto" w:fill="auto"/>
            <w:vAlign w:val="center"/>
          </w:tcPr>
          <w:p w14:paraId="36594323" w14:textId="77777777" w:rsidR="00703B9A" w:rsidRPr="00744269" w:rsidRDefault="00703B9A" w:rsidP="003D7C18">
            <w:pPr>
              <w:tabs>
                <w:tab w:val="left" w:pos="284"/>
              </w:tabs>
              <w:spacing w:after="0"/>
              <w:jc w:val="right"/>
              <w:rPr>
                <w:rFonts w:eastAsiaTheme="minorEastAsia" w:cs="Calibri"/>
                <w:sz w:val="16"/>
                <w:szCs w:val="16"/>
                <w:lang w:val="en-US"/>
              </w:rPr>
            </w:pPr>
          </w:p>
        </w:tc>
        <w:tc>
          <w:tcPr>
            <w:tcW w:w="486" w:type="pct"/>
            <w:tcBorders>
              <w:left w:val="single" w:sz="18" w:space="0" w:color="FFC000"/>
              <w:right w:val="single" w:sz="4" w:space="0" w:color="FFC000"/>
            </w:tcBorders>
            <w:shd w:val="clear" w:color="auto" w:fill="auto"/>
            <w:vAlign w:val="center"/>
          </w:tcPr>
          <w:p w14:paraId="1971751A" w14:textId="77777777" w:rsidR="00703B9A" w:rsidRPr="005744FA" w:rsidRDefault="00703B9A" w:rsidP="003D7C18">
            <w:pPr>
              <w:tabs>
                <w:tab w:val="left" w:pos="284"/>
              </w:tabs>
              <w:spacing w:after="0"/>
              <w:jc w:val="right"/>
              <w:rPr>
                <w:rFonts w:eastAsiaTheme="minorEastAsia" w:cs="Calibri"/>
                <w:sz w:val="16"/>
                <w:szCs w:val="16"/>
                <w:lang w:val="en-US"/>
              </w:rPr>
            </w:pPr>
          </w:p>
        </w:tc>
        <w:tc>
          <w:tcPr>
            <w:tcW w:w="486" w:type="pct"/>
            <w:tcBorders>
              <w:left w:val="single" w:sz="4" w:space="0" w:color="FFC000"/>
              <w:right w:val="single" w:sz="4" w:space="0" w:color="FFC000"/>
            </w:tcBorders>
            <w:vAlign w:val="center"/>
          </w:tcPr>
          <w:p w14:paraId="30A622B0" w14:textId="77777777" w:rsidR="00703B9A" w:rsidRPr="00744269" w:rsidRDefault="00703B9A" w:rsidP="003D7C18">
            <w:pPr>
              <w:tabs>
                <w:tab w:val="left" w:pos="284"/>
              </w:tabs>
              <w:spacing w:after="0"/>
              <w:jc w:val="right"/>
              <w:rPr>
                <w:rFonts w:eastAsiaTheme="minorEastAsia" w:cs="Calibri"/>
                <w:sz w:val="16"/>
                <w:szCs w:val="16"/>
                <w:lang w:val="en-US"/>
              </w:rPr>
            </w:pPr>
          </w:p>
        </w:tc>
        <w:tc>
          <w:tcPr>
            <w:tcW w:w="484" w:type="pct"/>
            <w:tcBorders>
              <w:left w:val="single" w:sz="4" w:space="0" w:color="FFC000"/>
              <w:right w:val="single" w:sz="4" w:space="0" w:color="FFC000"/>
            </w:tcBorders>
            <w:shd w:val="clear" w:color="auto" w:fill="auto"/>
            <w:vAlign w:val="center"/>
          </w:tcPr>
          <w:p w14:paraId="708D9546" w14:textId="77777777" w:rsidR="00703B9A" w:rsidRPr="00744269" w:rsidRDefault="00703B9A" w:rsidP="003D7C18">
            <w:pPr>
              <w:tabs>
                <w:tab w:val="left" w:pos="284"/>
              </w:tabs>
              <w:spacing w:after="0"/>
              <w:jc w:val="right"/>
              <w:rPr>
                <w:rFonts w:eastAsiaTheme="minorEastAsia" w:cs="Calibri"/>
                <w:sz w:val="16"/>
                <w:szCs w:val="16"/>
                <w:lang w:val="en-US"/>
              </w:rPr>
            </w:pPr>
          </w:p>
        </w:tc>
      </w:tr>
      <w:tr w:rsidR="00FE2913" w:rsidRPr="005744FA" w14:paraId="2F1E7775" w14:textId="77777777" w:rsidTr="0089533A">
        <w:trPr>
          <w:trHeight w:val="254"/>
        </w:trPr>
        <w:tc>
          <w:tcPr>
            <w:tcW w:w="2083" w:type="pct"/>
            <w:tcBorders>
              <w:left w:val="single" w:sz="4" w:space="0" w:color="FFC000"/>
              <w:right w:val="single" w:sz="4" w:space="0" w:color="FFC000"/>
            </w:tcBorders>
            <w:shd w:val="clear" w:color="auto" w:fill="auto"/>
            <w:tcMar>
              <w:right w:w="113" w:type="dxa"/>
            </w:tcMar>
            <w:vAlign w:val="center"/>
          </w:tcPr>
          <w:p w14:paraId="7D10C514" w14:textId="39FD5687" w:rsidR="00FE2913" w:rsidRPr="005744FA" w:rsidRDefault="00FE2913" w:rsidP="00FE2913">
            <w:pPr>
              <w:tabs>
                <w:tab w:val="left" w:pos="284"/>
              </w:tabs>
              <w:spacing w:after="0"/>
              <w:rPr>
                <w:rFonts w:eastAsiaTheme="minorEastAsia" w:cs="Calibri"/>
                <w:sz w:val="16"/>
                <w:szCs w:val="16"/>
                <w:lang w:val="en-US"/>
              </w:rPr>
            </w:pPr>
            <w:r w:rsidRPr="007316DD">
              <w:rPr>
                <w:rFonts w:ascii="Calibri" w:eastAsiaTheme="minorEastAsia" w:hAnsi="Calibri" w:cs="Calibri"/>
                <w:sz w:val="16"/>
                <w:szCs w:val="16"/>
              </w:rPr>
              <w:t>Δαπάνες Προσωπικού</w:t>
            </w:r>
          </w:p>
        </w:tc>
        <w:tc>
          <w:tcPr>
            <w:tcW w:w="486" w:type="pct"/>
            <w:tcBorders>
              <w:left w:val="single" w:sz="4" w:space="0" w:color="FFC000"/>
              <w:right w:val="single" w:sz="4" w:space="0" w:color="FFC000"/>
            </w:tcBorders>
            <w:shd w:val="clear" w:color="auto" w:fill="auto"/>
            <w:vAlign w:val="center"/>
          </w:tcPr>
          <w:p w14:paraId="07659A4A" w14:textId="7BCAB206" w:rsidR="00FE2913" w:rsidRPr="00882EC1" w:rsidRDefault="00FE2913" w:rsidP="00FE2913">
            <w:pPr>
              <w:tabs>
                <w:tab w:val="left" w:pos="284"/>
              </w:tabs>
              <w:spacing w:after="0"/>
              <w:jc w:val="right"/>
              <w:rPr>
                <w:rFonts w:eastAsiaTheme="minorEastAsia" w:cs="Calibri"/>
                <w:sz w:val="16"/>
                <w:szCs w:val="16"/>
                <w:lang w:val="en-US"/>
              </w:rPr>
            </w:pPr>
            <w:r>
              <w:rPr>
                <w:rFonts w:eastAsiaTheme="minorEastAsia" w:cstheme="minorHAnsi"/>
                <w:color w:val="000000" w:themeColor="text1"/>
                <w:sz w:val="16"/>
                <w:szCs w:val="16"/>
                <w:lang w:val="en-US"/>
              </w:rPr>
              <w:t>(136)</w:t>
            </w:r>
          </w:p>
        </w:tc>
        <w:tc>
          <w:tcPr>
            <w:tcW w:w="486" w:type="pct"/>
            <w:tcBorders>
              <w:left w:val="single" w:sz="4" w:space="0" w:color="FFC000"/>
              <w:right w:val="single" w:sz="4" w:space="0" w:color="FFC000"/>
            </w:tcBorders>
            <w:shd w:val="clear" w:color="auto" w:fill="auto"/>
            <w:vAlign w:val="center"/>
          </w:tcPr>
          <w:p w14:paraId="5FDCC366" w14:textId="212FDB91" w:rsidR="00FE2913" w:rsidRPr="00882EC1"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(97)</w:t>
            </w:r>
          </w:p>
        </w:tc>
        <w:tc>
          <w:tcPr>
            <w:tcW w:w="488" w:type="pct"/>
            <w:tcBorders>
              <w:left w:val="single" w:sz="2" w:space="0" w:color="FFC000"/>
              <w:right w:val="single" w:sz="4" w:space="0" w:color="FFC000"/>
            </w:tcBorders>
            <w:shd w:val="clear" w:color="auto" w:fill="auto"/>
            <w:vAlign w:val="center"/>
          </w:tcPr>
          <w:p w14:paraId="33411AF0" w14:textId="5BD42B35" w:rsidR="00FE2913" w:rsidRPr="00882EC1"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41%</w:t>
            </w:r>
          </w:p>
        </w:tc>
        <w:tc>
          <w:tcPr>
            <w:tcW w:w="486" w:type="pct"/>
            <w:tcBorders>
              <w:left w:val="single" w:sz="18" w:space="0" w:color="FFC000"/>
              <w:right w:val="single" w:sz="4" w:space="0" w:color="FFC000"/>
            </w:tcBorders>
            <w:shd w:val="clear" w:color="auto" w:fill="auto"/>
            <w:vAlign w:val="center"/>
          </w:tcPr>
          <w:p w14:paraId="63B33ED4" w14:textId="5DD22153" w:rsidR="00FE2913" w:rsidRPr="00882EC1"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(233)</w:t>
            </w:r>
          </w:p>
        </w:tc>
        <w:tc>
          <w:tcPr>
            <w:tcW w:w="486" w:type="pct"/>
            <w:tcBorders>
              <w:left w:val="single" w:sz="4" w:space="0" w:color="FFC000"/>
              <w:right w:val="single" w:sz="4" w:space="0" w:color="FFC000"/>
            </w:tcBorders>
            <w:vAlign w:val="center"/>
          </w:tcPr>
          <w:p w14:paraId="6E7E3C74" w14:textId="20D34177" w:rsidR="00FE2913"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(212)</w:t>
            </w:r>
          </w:p>
        </w:tc>
        <w:tc>
          <w:tcPr>
            <w:tcW w:w="484" w:type="pct"/>
            <w:tcBorders>
              <w:left w:val="single" w:sz="4" w:space="0" w:color="FFC000"/>
              <w:right w:val="single" w:sz="4" w:space="0" w:color="FFC000"/>
            </w:tcBorders>
            <w:shd w:val="clear" w:color="auto" w:fill="auto"/>
            <w:vAlign w:val="center"/>
          </w:tcPr>
          <w:p w14:paraId="7BE22E7D" w14:textId="390B2546" w:rsidR="00FE2913" w:rsidRPr="00882EC1"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10%</w:t>
            </w:r>
          </w:p>
        </w:tc>
      </w:tr>
      <w:tr w:rsidR="00FE2913" w:rsidRPr="005744FA" w14:paraId="009801CD" w14:textId="77777777" w:rsidTr="0089533A">
        <w:trPr>
          <w:trHeight w:val="254"/>
        </w:trPr>
        <w:tc>
          <w:tcPr>
            <w:tcW w:w="2083" w:type="pct"/>
            <w:tcBorders>
              <w:left w:val="single" w:sz="4" w:space="0" w:color="FFC000"/>
              <w:right w:val="single" w:sz="4" w:space="0" w:color="FFC000"/>
            </w:tcBorders>
            <w:shd w:val="clear" w:color="auto" w:fill="auto"/>
            <w:tcMar>
              <w:right w:w="113" w:type="dxa"/>
            </w:tcMar>
            <w:vAlign w:val="center"/>
          </w:tcPr>
          <w:p w14:paraId="3ED99BB2" w14:textId="7423363E" w:rsidR="00FE2913" w:rsidRPr="008E0EBD" w:rsidRDefault="00FE2913" w:rsidP="00FE2913">
            <w:pPr>
              <w:tabs>
                <w:tab w:val="left" w:pos="284"/>
              </w:tabs>
              <w:spacing w:after="0"/>
              <w:rPr>
                <w:rFonts w:ascii="Calibri" w:eastAsiaTheme="minorEastAsia" w:hAnsi="Calibri" w:cs="Calibri"/>
                <w:color w:val="003C96" w:themeColor="text2"/>
                <w:sz w:val="16"/>
                <w:szCs w:val="16"/>
                <w:lang w:val="en-US"/>
              </w:rPr>
            </w:pPr>
            <w:r w:rsidRPr="007316DD">
              <w:rPr>
                <w:rFonts w:eastAsiaTheme="minorEastAsia" w:cs="Calibri"/>
                <w:color w:val="003C96" w:themeColor="text2"/>
                <w:sz w:val="16"/>
                <w:szCs w:val="16"/>
                <w:lang w:val="en-US"/>
              </w:rPr>
              <w:t>-</w:t>
            </w:r>
            <w:r w:rsidRPr="007316DD">
              <w:rPr>
                <w:rFonts w:cs="Calibri"/>
                <w:color w:val="003C96" w:themeColor="text2"/>
                <w:sz w:val="16"/>
                <w:szCs w:val="16"/>
              </w:rPr>
              <w:t xml:space="preserve"> εξαιρουμένων εκτάκτων εξόδων </w:t>
            </w:r>
            <w:r w:rsidRPr="007316DD">
              <w:rPr>
                <w:rFonts w:cs="Calibri"/>
                <w:color w:val="003C96" w:themeColor="text2"/>
                <w:sz w:val="16"/>
                <w:szCs w:val="16"/>
                <w:vertAlign w:val="superscript"/>
              </w:rPr>
              <w:t>1</w:t>
            </w:r>
          </w:p>
        </w:tc>
        <w:tc>
          <w:tcPr>
            <w:tcW w:w="486" w:type="pct"/>
            <w:tcBorders>
              <w:left w:val="single" w:sz="4" w:space="0" w:color="FFC000"/>
              <w:right w:val="single" w:sz="4" w:space="0" w:color="FFC000"/>
            </w:tcBorders>
            <w:shd w:val="clear" w:color="auto" w:fill="auto"/>
            <w:vAlign w:val="center"/>
          </w:tcPr>
          <w:p w14:paraId="3D36CD7C" w14:textId="7BA1AF64" w:rsidR="00FE2913" w:rsidRPr="008E0EBD"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(96)</w:t>
            </w:r>
          </w:p>
        </w:tc>
        <w:tc>
          <w:tcPr>
            <w:tcW w:w="486" w:type="pct"/>
            <w:tcBorders>
              <w:left w:val="single" w:sz="4" w:space="0" w:color="FFC000"/>
              <w:right w:val="single" w:sz="4" w:space="0" w:color="FFC000"/>
            </w:tcBorders>
            <w:shd w:val="clear" w:color="auto" w:fill="auto"/>
            <w:vAlign w:val="center"/>
          </w:tcPr>
          <w:p w14:paraId="7A75F55F" w14:textId="04D27BAE" w:rsidR="00FE2913" w:rsidRPr="008E0EBD"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sz w:val="16"/>
                <w:szCs w:val="16"/>
                <w:lang w:val="en-US"/>
              </w:rPr>
              <w:t>(97)</w:t>
            </w:r>
          </w:p>
        </w:tc>
        <w:tc>
          <w:tcPr>
            <w:tcW w:w="488" w:type="pct"/>
            <w:tcBorders>
              <w:left w:val="single" w:sz="2" w:space="0" w:color="FFC000"/>
              <w:right w:val="single" w:sz="4" w:space="0" w:color="FFC000"/>
            </w:tcBorders>
            <w:shd w:val="clear" w:color="auto" w:fill="auto"/>
            <w:vAlign w:val="center"/>
          </w:tcPr>
          <w:p w14:paraId="1A5329DC" w14:textId="19DF6881" w:rsidR="00FE2913" w:rsidRPr="008E0EBD"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0%</w:t>
            </w:r>
          </w:p>
        </w:tc>
        <w:tc>
          <w:tcPr>
            <w:tcW w:w="486" w:type="pct"/>
            <w:tcBorders>
              <w:left w:val="single" w:sz="18" w:space="0" w:color="FFC000"/>
              <w:right w:val="single" w:sz="4" w:space="0" w:color="FFC000"/>
            </w:tcBorders>
            <w:shd w:val="clear" w:color="auto" w:fill="auto"/>
            <w:vAlign w:val="center"/>
          </w:tcPr>
          <w:p w14:paraId="0379A994" w14:textId="2AB8C95F" w:rsidR="00FE2913" w:rsidRPr="008E0EBD"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(193)</w:t>
            </w:r>
          </w:p>
        </w:tc>
        <w:tc>
          <w:tcPr>
            <w:tcW w:w="486" w:type="pct"/>
            <w:tcBorders>
              <w:left w:val="single" w:sz="4" w:space="0" w:color="FFC000"/>
              <w:right w:val="single" w:sz="4" w:space="0" w:color="FFC000"/>
            </w:tcBorders>
            <w:vAlign w:val="center"/>
          </w:tcPr>
          <w:p w14:paraId="6D6B3F45" w14:textId="0E12174F" w:rsidR="00FE2913"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(212)</w:t>
            </w:r>
          </w:p>
        </w:tc>
        <w:tc>
          <w:tcPr>
            <w:tcW w:w="484" w:type="pct"/>
            <w:tcBorders>
              <w:left w:val="single" w:sz="4" w:space="0" w:color="FFC000"/>
              <w:right w:val="single" w:sz="4" w:space="0" w:color="FFC000"/>
            </w:tcBorders>
            <w:shd w:val="clear" w:color="auto" w:fill="auto"/>
            <w:vAlign w:val="center"/>
          </w:tcPr>
          <w:p w14:paraId="46673639" w14:textId="6714E459" w:rsidR="00FE2913" w:rsidRPr="008E0EBD"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-9%</w:t>
            </w:r>
          </w:p>
        </w:tc>
      </w:tr>
      <w:tr w:rsidR="00FE2913" w:rsidRPr="00EE7EE8" w14:paraId="37F3812E" w14:textId="77777777" w:rsidTr="0089533A">
        <w:trPr>
          <w:trHeight w:val="254"/>
        </w:trPr>
        <w:tc>
          <w:tcPr>
            <w:tcW w:w="2083" w:type="pct"/>
            <w:tcBorders>
              <w:left w:val="single" w:sz="4" w:space="0" w:color="FFC000"/>
              <w:right w:val="single" w:sz="4" w:space="0" w:color="FFC000"/>
            </w:tcBorders>
            <w:shd w:val="clear" w:color="auto" w:fill="auto"/>
            <w:tcMar>
              <w:right w:w="113" w:type="dxa"/>
            </w:tcMar>
            <w:vAlign w:val="center"/>
          </w:tcPr>
          <w:p w14:paraId="6289C7D3" w14:textId="2868E331" w:rsidR="00FE2913" w:rsidRPr="005744FA" w:rsidRDefault="00FE2913" w:rsidP="00FE2913">
            <w:pPr>
              <w:tabs>
                <w:tab w:val="left" w:pos="284"/>
              </w:tabs>
              <w:spacing w:after="0"/>
              <w:rPr>
                <w:rFonts w:eastAsiaTheme="minorEastAsia" w:cs="Calibri"/>
                <w:sz w:val="16"/>
                <w:szCs w:val="16"/>
                <w:lang w:val="en-US"/>
              </w:rPr>
            </w:pPr>
            <w:r w:rsidRPr="007316DD">
              <w:rPr>
                <w:rFonts w:ascii="Calibri" w:eastAsiaTheme="minorEastAsia" w:hAnsi="Calibri" w:cs="Calibri"/>
                <w:sz w:val="16"/>
                <w:szCs w:val="16"/>
              </w:rPr>
              <w:t>Γενικά Διοικητικά Έξοδα</w:t>
            </w:r>
          </w:p>
        </w:tc>
        <w:tc>
          <w:tcPr>
            <w:tcW w:w="486" w:type="pct"/>
            <w:tcBorders>
              <w:left w:val="single" w:sz="4" w:space="0" w:color="FFC000"/>
              <w:right w:val="single" w:sz="4" w:space="0" w:color="FFC000"/>
            </w:tcBorders>
            <w:shd w:val="clear" w:color="auto" w:fill="auto"/>
            <w:vAlign w:val="center"/>
          </w:tcPr>
          <w:p w14:paraId="5AC3C5E4" w14:textId="52FB2968" w:rsidR="00FE2913" w:rsidRPr="005744FA"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(101)</w:t>
            </w:r>
          </w:p>
        </w:tc>
        <w:tc>
          <w:tcPr>
            <w:tcW w:w="486" w:type="pct"/>
            <w:tcBorders>
              <w:left w:val="single" w:sz="4" w:space="0" w:color="FFC000"/>
              <w:right w:val="single" w:sz="4" w:space="0" w:color="FFC000"/>
            </w:tcBorders>
            <w:shd w:val="clear" w:color="auto" w:fill="auto"/>
            <w:vAlign w:val="center"/>
          </w:tcPr>
          <w:p w14:paraId="238B91C6" w14:textId="5BCF4260" w:rsidR="00FE2913" w:rsidRPr="005744FA"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(100)</w:t>
            </w:r>
          </w:p>
        </w:tc>
        <w:tc>
          <w:tcPr>
            <w:tcW w:w="488" w:type="pct"/>
            <w:tcBorders>
              <w:left w:val="single" w:sz="2" w:space="0" w:color="FFC000"/>
              <w:right w:val="single" w:sz="4" w:space="0" w:color="FFC000"/>
            </w:tcBorders>
            <w:shd w:val="clear" w:color="auto" w:fill="auto"/>
            <w:vAlign w:val="center"/>
          </w:tcPr>
          <w:p w14:paraId="3C641985" w14:textId="598EB7F1" w:rsidR="00FE2913" w:rsidRPr="005744FA"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1%</w:t>
            </w:r>
          </w:p>
        </w:tc>
        <w:tc>
          <w:tcPr>
            <w:tcW w:w="486" w:type="pct"/>
            <w:tcBorders>
              <w:left w:val="single" w:sz="18" w:space="0" w:color="FFC000"/>
              <w:right w:val="single" w:sz="4" w:space="0" w:color="FFC000"/>
            </w:tcBorders>
            <w:shd w:val="clear" w:color="auto" w:fill="auto"/>
            <w:vAlign w:val="center"/>
          </w:tcPr>
          <w:p w14:paraId="6733CCD2" w14:textId="7733FDF2" w:rsidR="00FE2913" w:rsidRPr="005744FA"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(202)</w:t>
            </w:r>
          </w:p>
        </w:tc>
        <w:tc>
          <w:tcPr>
            <w:tcW w:w="486" w:type="pct"/>
            <w:tcBorders>
              <w:left w:val="single" w:sz="4" w:space="0" w:color="FFC000"/>
              <w:right w:val="single" w:sz="4" w:space="0" w:color="FFC000"/>
            </w:tcBorders>
            <w:vAlign w:val="center"/>
          </w:tcPr>
          <w:p w14:paraId="49457565" w14:textId="08422E4E" w:rsidR="00FE2913"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(182)</w:t>
            </w:r>
          </w:p>
        </w:tc>
        <w:tc>
          <w:tcPr>
            <w:tcW w:w="484" w:type="pct"/>
            <w:tcBorders>
              <w:left w:val="single" w:sz="4" w:space="0" w:color="FFC000"/>
              <w:right w:val="single" w:sz="4" w:space="0" w:color="FFC000"/>
            </w:tcBorders>
            <w:shd w:val="clear" w:color="auto" w:fill="auto"/>
            <w:vAlign w:val="center"/>
          </w:tcPr>
          <w:p w14:paraId="08B58D1F" w14:textId="3BDCAFC7" w:rsidR="00FE2913" w:rsidRPr="005744FA"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11%</w:t>
            </w:r>
          </w:p>
        </w:tc>
      </w:tr>
      <w:tr w:rsidR="00FE2913" w:rsidRPr="00EE7EE8" w14:paraId="26B382F8" w14:textId="77777777" w:rsidTr="0089533A">
        <w:trPr>
          <w:trHeight w:val="254"/>
        </w:trPr>
        <w:tc>
          <w:tcPr>
            <w:tcW w:w="2083" w:type="pct"/>
            <w:tcBorders>
              <w:left w:val="single" w:sz="4" w:space="0" w:color="FFC000"/>
              <w:right w:val="single" w:sz="4" w:space="0" w:color="FFC000"/>
            </w:tcBorders>
            <w:shd w:val="clear" w:color="auto" w:fill="auto"/>
            <w:tcMar>
              <w:right w:w="113" w:type="dxa"/>
            </w:tcMar>
            <w:vAlign w:val="center"/>
          </w:tcPr>
          <w:p w14:paraId="13AF8DEB" w14:textId="70C00287" w:rsidR="00FE2913" w:rsidRPr="005744FA" w:rsidRDefault="00FE2913" w:rsidP="00FE2913">
            <w:pPr>
              <w:tabs>
                <w:tab w:val="left" w:pos="284"/>
              </w:tabs>
              <w:spacing w:after="0"/>
              <w:rPr>
                <w:rFonts w:ascii="Calibri" w:eastAsiaTheme="minorEastAsia" w:hAnsi="Calibri" w:cs="Calibri"/>
                <w:sz w:val="16"/>
                <w:szCs w:val="16"/>
                <w:lang w:val="en-US"/>
              </w:rPr>
            </w:pPr>
            <w:r w:rsidRPr="007316DD">
              <w:rPr>
                <w:rFonts w:eastAsiaTheme="minorEastAsia" w:cs="Calibri"/>
                <w:color w:val="003C96" w:themeColor="text2"/>
                <w:sz w:val="16"/>
                <w:szCs w:val="16"/>
                <w:lang w:val="en-US"/>
              </w:rPr>
              <w:t>-</w:t>
            </w:r>
            <w:r w:rsidRPr="007316DD">
              <w:rPr>
                <w:rFonts w:cs="Calibri"/>
                <w:color w:val="003C96" w:themeColor="text2"/>
                <w:sz w:val="16"/>
                <w:szCs w:val="16"/>
              </w:rPr>
              <w:t xml:space="preserve"> εξαιρουμένων εκτάκτων εξόδων </w:t>
            </w:r>
            <w:r w:rsidRPr="007316DD">
              <w:rPr>
                <w:rFonts w:cs="Calibri"/>
                <w:color w:val="003C96" w:themeColor="text2"/>
                <w:sz w:val="16"/>
                <w:szCs w:val="16"/>
                <w:vertAlign w:val="superscript"/>
              </w:rPr>
              <w:t>1</w:t>
            </w:r>
          </w:p>
        </w:tc>
        <w:tc>
          <w:tcPr>
            <w:tcW w:w="486" w:type="pct"/>
            <w:tcBorders>
              <w:left w:val="single" w:sz="4" w:space="0" w:color="FFC000"/>
              <w:right w:val="single" w:sz="4" w:space="0" w:color="FFC000"/>
            </w:tcBorders>
            <w:shd w:val="clear" w:color="auto" w:fill="auto"/>
            <w:vAlign w:val="center"/>
          </w:tcPr>
          <w:p w14:paraId="50E4196E" w14:textId="1C503D30" w:rsidR="00FE2913" w:rsidRPr="008E0EBD"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(101)</w:t>
            </w:r>
          </w:p>
        </w:tc>
        <w:tc>
          <w:tcPr>
            <w:tcW w:w="486" w:type="pct"/>
            <w:tcBorders>
              <w:left w:val="single" w:sz="4" w:space="0" w:color="FFC000"/>
              <w:right w:val="single" w:sz="4" w:space="0" w:color="FFC000"/>
            </w:tcBorders>
            <w:shd w:val="clear" w:color="auto" w:fill="auto"/>
            <w:vAlign w:val="center"/>
          </w:tcPr>
          <w:p w14:paraId="59B07F7B" w14:textId="4D481063" w:rsidR="00FE2913" w:rsidRPr="008E0EBD"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(94)</w:t>
            </w:r>
          </w:p>
        </w:tc>
        <w:tc>
          <w:tcPr>
            <w:tcW w:w="488" w:type="pct"/>
            <w:tcBorders>
              <w:left w:val="single" w:sz="2" w:space="0" w:color="FFC000"/>
              <w:right w:val="single" w:sz="4" w:space="0" w:color="FFC000"/>
            </w:tcBorders>
            <w:shd w:val="clear" w:color="auto" w:fill="auto"/>
            <w:vAlign w:val="center"/>
          </w:tcPr>
          <w:p w14:paraId="63176873" w14:textId="60A97769" w:rsidR="00FE2913" w:rsidRPr="008E0EBD"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8%</w:t>
            </w:r>
          </w:p>
        </w:tc>
        <w:tc>
          <w:tcPr>
            <w:tcW w:w="486" w:type="pct"/>
            <w:tcBorders>
              <w:left w:val="single" w:sz="18" w:space="0" w:color="FFC000"/>
              <w:right w:val="single" w:sz="4" w:space="0" w:color="FFC000"/>
            </w:tcBorders>
            <w:shd w:val="clear" w:color="auto" w:fill="auto"/>
            <w:vAlign w:val="center"/>
          </w:tcPr>
          <w:p w14:paraId="140EEAA8" w14:textId="6056E1FE" w:rsidR="00FE2913" w:rsidRPr="008E0EBD"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(195)</w:t>
            </w:r>
          </w:p>
        </w:tc>
        <w:tc>
          <w:tcPr>
            <w:tcW w:w="486" w:type="pct"/>
            <w:tcBorders>
              <w:left w:val="single" w:sz="4" w:space="0" w:color="FFC000"/>
              <w:right w:val="single" w:sz="4" w:space="0" w:color="FFC000"/>
            </w:tcBorders>
            <w:vAlign w:val="center"/>
          </w:tcPr>
          <w:p w14:paraId="1B4CF192" w14:textId="0028A7DE" w:rsidR="00FE2913"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(182)</w:t>
            </w:r>
          </w:p>
        </w:tc>
        <w:tc>
          <w:tcPr>
            <w:tcW w:w="484" w:type="pct"/>
            <w:tcBorders>
              <w:left w:val="single" w:sz="4" w:space="0" w:color="FFC000"/>
              <w:right w:val="single" w:sz="4" w:space="0" w:color="FFC000"/>
            </w:tcBorders>
            <w:shd w:val="clear" w:color="auto" w:fill="auto"/>
            <w:vAlign w:val="center"/>
          </w:tcPr>
          <w:p w14:paraId="71DC2CE7" w14:textId="32BC93EA" w:rsidR="00FE2913" w:rsidRPr="008E0EBD"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7%</w:t>
            </w:r>
          </w:p>
        </w:tc>
      </w:tr>
      <w:tr w:rsidR="00FE2913" w:rsidRPr="00EE7EE8" w14:paraId="52CDD43D" w14:textId="77777777" w:rsidTr="0089533A">
        <w:trPr>
          <w:trHeight w:val="254"/>
        </w:trPr>
        <w:tc>
          <w:tcPr>
            <w:tcW w:w="2083" w:type="pct"/>
            <w:tcBorders>
              <w:left w:val="single" w:sz="4" w:space="0" w:color="FFC000"/>
              <w:right w:val="single" w:sz="4" w:space="0" w:color="FFC000"/>
            </w:tcBorders>
            <w:shd w:val="clear" w:color="auto" w:fill="auto"/>
            <w:tcMar>
              <w:right w:w="113" w:type="dxa"/>
            </w:tcMar>
            <w:vAlign w:val="center"/>
          </w:tcPr>
          <w:p w14:paraId="4FB4310B" w14:textId="026F1C0D" w:rsidR="00FE2913" w:rsidRPr="005744FA" w:rsidRDefault="00FE2913" w:rsidP="00FE2913">
            <w:pPr>
              <w:tabs>
                <w:tab w:val="left" w:pos="284"/>
              </w:tabs>
              <w:spacing w:after="0"/>
              <w:rPr>
                <w:rFonts w:eastAsiaTheme="minorEastAsia" w:cs="Calibri"/>
                <w:sz w:val="16"/>
                <w:szCs w:val="16"/>
                <w:lang w:val="en-US"/>
              </w:rPr>
            </w:pPr>
            <w:r w:rsidRPr="007316DD">
              <w:rPr>
                <w:rFonts w:ascii="Calibri" w:eastAsiaTheme="minorEastAsia" w:hAnsi="Calibri" w:cs="Calibri"/>
                <w:sz w:val="16"/>
                <w:szCs w:val="16"/>
              </w:rPr>
              <w:t>Αποσβέσεις και Λοιπά Έξοδα</w:t>
            </w:r>
          </w:p>
        </w:tc>
        <w:tc>
          <w:tcPr>
            <w:tcW w:w="486" w:type="pct"/>
            <w:tcBorders>
              <w:left w:val="single" w:sz="4" w:space="0" w:color="FFC000"/>
              <w:right w:val="single" w:sz="4" w:space="0" w:color="FFC000"/>
            </w:tcBorders>
            <w:shd w:val="clear" w:color="auto" w:fill="auto"/>
            <w:vAlign w:val="center"/>
          </w:tcPr>
          <w:p w14:paraId="4ECA61BD" w14:textId="53695794" w:rsidR="00FE2913" w:rsidRPr="005744FA"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(28)</w:t>
            </w:r>
          </w:p>
        </w:tc>
        <w:tc>
          <w:tcPr>
            <w:tcW w:w="486" w:type="pct"/>
            <w:tcBorders>
              <w:left w:val="single" w:sz="4" w:space="0" w:color="FFC000"/>
              <w:right w:val="single" w:sz="4" w:space="0" w:color="FFC000"/>
            </w:tcBorders>
            <w:shd w:val="clear" w:color="auto" w:fill="auto"/>
            <w:vAlign w:val="center"/>
          </w:tcPr>
          <w:p w14:paraId="45147B55" w14:textId="593BFEEC" w:rsidR="00FE2913" w:rsidRPr="005744FA"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(28)</w:t>
            </w:r>
          </w:p>
        </w:tc>
        <w:tc>
          <w:tcPr>
            <w:tcW w:w="488" w:type="pct"/>
            <w:tcBorders>
              <w:left w:val="single" w:sz="2" w:space="0" w:color="FFC000"/>
              <w:right w:val="single" w:sz="4" w:space="0" w:color="FFC000"/>
            </w:tcBorders>
            <w:shd w:val="clear" w:color="auto" w:fill="auto"/>
            <w:vAlign w:val="center"/>
          </w:tcPr>
          <w:p w14:paraId="3DCC4665" w14:textId="03961DDE" w:rsidR="00FE2913" w:rsidRPr="005744FA"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1%</w:t>
            </w:r>
          </w:p>
        </w:tc>
        <w:tc>
          <w:tcPr>
            <w:tcW w:w="486" w:type="pct"/>
            <w:tcBorders>
              <w:left w:val="single" w:sz="18" w:space="0" w:color="FFC000"/>
              <w:right w:val="single" w:sz="4" w:space="0" w:color="FFC000"/>
            </w:tcBorders>
            <w:shd w:val="clear" w:color="auto" w:fill="auto"/>
            <w:vAlign w:val="center"/>
          </w:tcPr>
          <w:p w14:paraId="60B5545A" w14:textId="145BFFFD" w:rsidR="00FE2913" w:rsidRPr="005744FA"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(56)</w:t>
            </w:r>
          </w:p>
        </w:tc>
        <w:tc>
          <w:tcPr>
            <w:tcW w:w="486" w:type="pct"/>
            <w:tcBorders>
              <w:left w:val="single" w:sz="4" w:space="0" w:color="FFC000"/>
              <w:right w:val="single" w:sz="4" w:space="0" w:color="FFC000"/>
            </w:tcBorders>
            <w:vAlign w:val="center"/>
          </w:tcPr>
          <w:p w14:paraId="2771DB5C" w14:textId="2C66F84E" w:rsidR="00FE2913"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(58)</w:t>
            </w:r>
          </w:p>
        </w:tc>
        <w:tc>
          <w:tcPr>
            <w:tcW w:w="484" w:type="pct"/>
            <w:tcBorders>
              <w:left w:val="single" w:sz="4" w:space="0" w:color="FFC000"/>
              <w:right w:val="single" w:sz="4" w:space="0" w:color="FFC000"/>
            </w:tcBorders>
            <w:shd w:val="clear" w:color="auto" w:fill="auto"/>
            <w:vAlign w:val="center"/>
          </w:tcPr>
          <w:p w14:paraId="55F92A05" w14:textId="7F877FBE" w:rsidR="00FE2913" w:rsidRPr="005744FA"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-4%</w:t>
            </w:r>
          </w:p>
        </w:tc>
      </w:tr>
      <w:tr w:rsidR="00FE2913" w:rsidRPr="005744FA" w14:paraId="7C52CB18" w14:textId="77777777" w:rsidTr="0089533A">
        <w:trPr>
          <w:trHeight w:val="254"/>
        </w:trPr>
        <w:tc>
          <w:tcPr>
            <w:tcW w:w="2083" w:type="pct"/>
            <w:tcBorders>
              <w:left w:val="single" w:sz="4" w:space="0" w:color="FFC000"/>
              <w:right w:val="single" w:sz="4" w:space="0" w:color="FFC000"/>
            </w:tcBorders>
            <w:shd w:val="clear" w:color="auto" w:fill="auto"/>
            <w:tcMar>
              <w:right w:w="113" w:type="dxa"/>
            </w:tcMar>
            <w:vAlign w:val="center"/>
          </w:tcPr>
          <w:p w14:paraId="3D53FA82" w14:textId="5CC8F012" w:rsidR="00FE2913" w:rsidRPr="005744FA" w:rsidRDefault="00FE2913" w:rsidP="00FE2913">
            <w:pPr>
              <w:tabs>
                <w:tab w:val="left" w:pos="284"/>
              </w:tabs>
              <w:spacing w:after="0"/>
              <w:rPr>
                <w:rFonts w:eastAsiaTheme="minorEastAsia" w:cs="Calibri"/>
                <w:sz w:val="16"/>
                <w:szCs w:val="16"/>
                <w:lang w:val="en-US"/>
              </w:rPr>
            </w:pPr>
            <w:r w:rsidRPr="007316DD">
              <w:rPr>
                <w:rFonts w:ascii="Calibri" w:eastAsiaTheme="minorEastAsia" w:hAnsi="Calibri" w:cs="Calibri"/>
                <w:sz w:val="16"/>
                <w:szCs w:val="16"/>
              </w:rPr>
              <w:t>Σύνολο Λειτουργικών Εξόδων</w:t>
            </w:r>
          </w:p>
        </w:tc>
        <w:tc>
          <w:tcPr>
            <w:tcW w:w="486" w:type="pct"/>
            <w:tcBorders>
              <w:left w:val="single" w:sz="4" w:space="0" w:color="FFC000"/>
              <w:right w:val="single" w:sz="4" w:space="0" w:color="FFC000"/>
            </w:tcBorders>
            <w:shd w:val="clear" w:color="auto" w:fill="auto"/>
            <w:vAlign w:val="center"/>
          </w:tcPr>
          <w:p w14:paraId="59BE189A" w14:textId="0C75EC7E" w:rsidR="00FE2913" w:rsidRPr="005744FA"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(266)</w:t>
            </w:r>
          </w:p>
        </w:tc>
        <w:tc>
          <w:tcPr>
            <w:tcW w:w="486" w:type="pct"/>
            <w:tcBorders>
              <w:left w:val="single" w:sz="4" w:space="0" w:color="FFC000"/>
              <w:right w:val="single" w:sz="4" w:space="0" w:color="FFC000"/>
            </w:tcBorders>
            <w:shd w:val="clear" w:color="auto" w:fill="auto"/>
            <w:vAlign w:val="center"/>
          </w:tcPr>
          <w:p w14:paraId="6CC2C1CE" w14:textId="12DBA647" w:rsidR="00FE2913" w:rsidRPr="005744FA"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(225)</w:t>
            </w:r>
          </w:p>
        </w:tc>
        <w:tc>
          <w:tcPr>
            <w:tcW w:w="488" w:type="pct"/>
            <w:tcBorders>
              <w:left w:val="single" w:sz="2" w:space="0" w:color="FFC000"/>
              <w:right w:val="single" w:sz="4" w:space="0" w:color="FFC000"/>
            </w:tcBorders>
            <w:shd w:val="clear" w:color="auto" w:fill="auto"/>
            <w:vAlign w:val="center"/>
          </w:tcPr>
          <w:p w14:paraId="0691F154" w14:textId="3B70BA63" w:rsidR="00FE2913" w:rsidRPr="005744FA"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18%</w:t>
            </w:r>
          </w:p>
        </w:tc>
        <w:tc>
          <w:tcPr>
            <w:tcW w:w="486" w:type="pct"/>
            <w:tcBorders>
              <w:left w:val="single" w:sz="18" w:space="0" w:color="FFC000"/>
              <w:right w:val="single" w:sz="4" w:space="0" w:color="FFC000"/>
            </w:tcBorders>
            <w:shd w:val="clear" w:color="auto" w:fill="auto"/>
            <w:vAlign w:val="center"/>
          </w:tcPr>
          <w:p w14:paraId="27E3CFCD" w14:textId="384DCCEF" w:rsidR="00FE2913" w:rsidRPr="005744FA"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(491)</w:t>
            </w:r>
          </w:p>
        </w:tc>
        <w:tc>
          <w:tcPr>
            <w:tcW w:w="486" w:type="pct"/>
            <w:tcBorders>
              <w:left w:val="single" w:sz="4" w:space="0" w:color="FFC000"/>
              <w:right w:val="single" w:sz="4" w:space="0" w:color="FFC000"/>
            </w:tcBorders>
            <w:vAlign w:val="center"/>
          </w:tcPr>
          <w:p w14:paraId="69A7AC5C" w14:textId="0E4B333A" w:rsidR="00FE2913"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(452)</w:t>
            </w:r>
          </w:p>
        </w:tc>
        <w:tc>
          <w:tcPr>
            <w:tcW w:w="484" w:type="pct"/>
            <w:tcBorders>
              <w:left w:val="single" w:sz="4" w:space="0" w:color="FFC000"/>
              <w:right w:val="single" w:sz="4" w:space="0" w:color="FFC000"/>
            </w:tcBorders>
            <w:shd w:val="clear" w:color="auto" w:fill="auto"/>
            <w:vAlign w:val="center"/>
          </w:tcPr>
          <w:p w14:paraId="608C2ACC" w14:textId="6879F6A7" w:rsidR="00FE2913" w:rsidRPr="005744FA"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9%</w:t>
            </w:r>
          </w:p>
        </w:tc>
      </w:tr>
      <w:tr w:rsidR="00FE2913" w:rsidRPr="005744FA" w14:paraId="478821C2" w14:textId="77777777" w:rsidTr="0089533A">
        <w:trPr>
          <w:trHeight w:val="254"/>
        </w:trPr>
        <w:tc>
          <w:tcPr>
            <w:tcW w:w="2083" w:type="pct"/>
            <w:tcBorders>
              <w:left w:val="single" w:sz="4" w:space="0" w:color="FFC000"/>
              <w:right w:val="single" w:sz="4" w:space="0" w:color="FFC000"/>
            </w:tcBorders>
            <w:shd w:val="clear" w:color="auto" w:fill="auto"/>
            <w:tcMar>
              <w:right w:w="113" w:type="dxa"/>
            </w:tcMar>
            <w:vAlign w:val="center"/>
          </w:tcPr>
          <w:p w14:paraId="0F4642A5" w14:textId="4AFA0C04" w:rsidR="00FE2913" w:rsidRPr="005744FA" w:rsidRDefault="00FE2913" w:rsidP="00FE2913">
            <w:pPr>
              <w:tabs>
                <w:tab w:val="left" w:pos="284"/>
              </w:tabs>
              <w:spacing w:after="0"/>
              <w:rPr>
                <w:rFonts w:eastAsiaTheme="minorEastAsia" w:cs="Calibri"/>
                <w:sz w:val="16"/>
                <w:szCs w:val="16"/>
              </w:rPr>
            </w:pPr>
            <w:r w:rsidRPr="007316DD">
              <w:rPr>
                <w:rFonts w:eastAsiaTheme="minorEastAsia" w:cs="Calibri"/>
                <w:color w:val="003C96" w:themeColor="text2"/>
                <w:sz w:val="16"/>
                <w:szCs w:val="16"/>
                <w:lang w:val="en-US"/>
              </w:rPr>
              <w:t>-</w:t>
            </w:r>
            <w:r w:rsidRPr="007316DD">
              <w:rPr>
                <w:rFonts w:cs="Calibri"/>
                <w:color w:val="003C96" w:themeColor="text2"/>
                <w:sz w:val="16"/>
                <w:szCs w:val="16"/>
              </w:rPr>
              <w:t xml:space="preserve"> εξαιρουμένων εκτάκτων εξόδων </w:t>
            </w:r>
            <w:r w:rsidRPr="007316DD">
              <w:rPr>
                <w:rFonts w:cs="Calibri"/>
                <w:color w:val="003C96" w:themeColor="text2"/>
                <w:sz w:val="16"/>
                <w:szCs w:val="16"/>
                <w:vertAlign w:val="superscript"/>
              </w:rPr>
              <w:t>1</w:t>
            </w:r>
          </w:p>
        </w:tc>
        <w:tc>
          <w:tcPr>
            <w:tcW w:w="486" w:type="pct"/>
            <w:tcBorders>
              <w:left w:val="single" w:sz="4" w:space="0" w:color="FFC000"/>
              <w:right w:val="single" w:sz="4" w:space="0" w:color="FFC000"/>
            </w:tcBorders>
            <w:shd w:val="clear" w:color="auto" w:fill="auto"/>
            <w:vAlign w:val="center"/>
          </w:tcPr>
          <w:p w14:paraId="15776F36" w14:textId="34D043E6" w:rsidR="00FE2913" w:rsidRPr="00882EC1"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(226)</w:t>
            </w:r>
          </w:p>
        </w:tc>
        <w:tc>
          <w:tcPr>
            <w:tcW w:w="486" w:type="pct"/>
            <w:tcBorders>
              <w:left w:val="single" w:sz="4" w:space="0" w:color="FFC000"/>
              <w:right w:val="single" w:sz="4" w:space="0" w:color="FFC000"/>
            </w:tcBorders>
            <w:shd w:val="clear" w:color="auto" w:fill="auto"/>
            <w:vAlign w:val="center"/>
          </w:tcPr>
          <w:p w14:paraId="21F23818" w14:textId="34965BA9" w:rsidR="00FE2913" w:rsidRPr="00882EC1"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(218)</w:t>
            </w:r>
          </w:p>
        </w:tc>
        <w:tc>
          <w:tcPr>
            <w:tcW w:w="488" w:type="pct"/>
            <w:tcBorders>
              <w:left w:val="single" w:sz="2" w:space="0" w:color="FFC000"/>
              <w:right w:val="single" w:sz="4" w:space="0" w:color="FFC000"/>
            </w:tcBorders>
            <w:shd w:val="clear" w:color="auto" w:fill="auto"/>
            <w:vAlign w:val="center"/>
          </w:tcPr>
          <w:p w14:paraId="645EC383" w14:textId="52C79C81" w:rsidR="00FE2913" w:rsidRPr="00882EC1"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3%</w:t>
            </w:r>
          </w:p>
        </w:tc>
        <w:tc>
          <w:tcPr>
            <w:tcW w:w="486" w:type="pct"/>
            <w:tcBorders>
              <w:left w:val="single" w:sz="18" w:space="0" w:color="FFC000"/>
              <w:right w:val="single" w:sz="4" w:space="0" w:color="FFC000"/>
            </w:tcBorders>
            <w:shd w:val="clear" w:color="auto" w:fill="auto"/>
            <w:vAlign w:val="center"/>
          </w:tcPr>
          <w:p w14:paraId="227F6DC8" w14:textId="7CB1C726" w:rsidR="00FE2913" w:rsidRPr="00882EC1"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(444)</w:t>
            </w:r>
          </w:p>
        </w:tc>
        <w:tc>
          <w:tcPr>
            <w:tcW w:w="486" w:type="pct"/>
            <w:tcBorders>
              <w:left w:val="single" w:sz="4" w:space="0" w:color="FFC000"/>
              <w:right w:val="single" w:sz="4" w:space="0" w:color="FFC000"/>
            </w:tcBorders>
            <w:vAlign w:val="center"/>
          </w:tcPr>
          <w:p w14:paraId="0DA3486F" w14:textId="5420B160" w:rsidR="00FE2913"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(452)</w:t>
            </w:r>
          </w:p>
        </w:tc>
        <w:tc>
          <w:tcPr>
            <w:tcW w:w="484" w:type="pct"/>
            <w:tcBorders>
              <w:left w:val="single" w:sz="4" w:space="0" w:color="FFC000"/>
              <w:right w:val="single" w:sz="4" w:space="0" w:color="FFC000"/>
            </w:tcBorders>
            <w:shd w:val="clear" w:color="auto" w:fill="auto"/>
            <w:vAlign w:val="center"/>
          </w:tcPr>
          <w:p w14:paraId="4C1E7555" w14:textId="3E27A4D5" w:rsidR="00FE2913" w:rsidRPr="00882EC1"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-2%</w:t>
            </w:r>
          </w:p>
        </w:tc>
      </w:tr>
      <w:tr w:rsidR="00703B9A" w:rsidRPr="005744FA" w14:paraId="16CB3712" w14:textId="77777777" w:rsidTr="0089533A">
        <w:trPr>
          <w:trHeight w:val="254"/>
        </w:trPr>
        <w:tc>
          <w:tcPr>
            <w:tcW w:w="2083" w:type="pct"/>
            <w:tcBorders>
              <w:left w:val="single" w:sz="4" w:space="0" w:color="FFC000"/>
              <w:right w:val="single" w:sz="4" w:space="0" w:color="FFC000"/>
            </w:tcBorders>
            <w:shd w:val="clear" w:color="auto" w:fill="auto"/>
            <w:tcMar>
              <w:right w:w="113" w:type="dxa"/>
            </w:tcMar>
            <w:vAlign w:val="center"/>
          </w:tcPr>
          <w:p w14:paraId="4C83EE2F" w14:textId="77777777" w:rsidR="00703B9A" w:rsidRPr="008E3B38" w:rsidRDefault="00703B9A" w:rsidP="003D7C18">
            <w:pPr>
              <w:tabs>
                <w:tab w:val="left" w:pos="284"/>
              </w:tabs>
              <w:spacing w:after="0"/>
              <w:rPr>
                <w:rFonts w:eastAsiaTheme="minorEastAsia" w:cs="Calibri"/>
                <w:color w:val="FF0000"/>
                <w:sz w:val="16"/>
                <w:szCs w:val="16"/>
                <w:lang w:val="en-US"/>
              </w:rPr>
            </w:pPr>
          </w:p>
        </w:tc>
        <w:tc>
          <w:tcPr>
            <w:tcW w:w="486" w:type="pct"/>
            <w:tcBorders>
              <w:left w:val="single" w:sz="4" w:space="0" w:color="FFC000"/>
              <w:right w:val="single" w:sz="4" w:space="0" w:color="FFC000"/>
            </w:tcBorders>
            <w:shd w:val="clear" w:color="auto" w:fill="auto"/>
            <w:vAlign w:val="center"/>
          </w:tcPr>
          <w:p w14:paraId="7C5571B0" w14:textId="77777777" w:rsidR="00703B9A" w:rsidRPr="008E3B38" w:rsidRDefault="00703B9A" w:rsidP="003D7C18">
            <w:pPr>
              <w:tabs>
                <w:tab w:val="left" w:pos="284"/>
              </w:tabs>
              <w:spacing w:after="0"/>
              <w:jc w:val="right"/>
              <w:rPr>
                <w:rFonts w:eastAsiaTheme="minorEastAsia" w:cs="Calibri"/>
                <w:color w:val="FF0000"/>
                <w:sz w:val="16"/>
                <w:szCs w:val="16"/>
                <w:highlight w:val="green"/>
                <w:lang w:val="en-US"/>
              </w:rPr>
            </w:pPr>
          </w:p>
        </w:tc>
        <w:tc>
          <w:tcPr>
            <w:tcW w:w="486" w:type="pct"/>
            <w:tcBorders>
              <w:left w:val="single" w:sz="4" w:space="0" w:color="FFC000"/>
              <w:right w:val="single" w:sz="4" w:space="0" w:color="FFC000"/>
            </w:tcBorders>
            <w:shd w:val="clear" w:color="auto" w:fill="auto"/>
            <w:vAlign w:val="center"/>
          </w:tcPr>
          <w:p w14:paraId="74F76D5D" w14:textId="77777777" w:rsidR="00703B9A" w:rsidRPr="008E3B38" w:rsidRDefault="00703B9A" w:rsidP="003D7C18">
            <w:pPr>
              <w:tabs>
                <w:tab w:val="left" w:pos="284"/>
              </w:tabs>
              <w:spacing w:after="0"/>
              <w:jc w:val="right"/>
              <w:rPr>
                <w:rFonts w:eastAsiaTheme="minorEastAsia" w:cs="Calibri"/>
                <w:color w:val="FF0000"/>
                <w:sz w:val="16"/>
                <w:szCs w:val="16"/>
                <w:highlight w:val="green"/>
                <w:lang w:val="en-US"/>
              </w:rPr>
            </w:pPr>
          </w:p>
        </w:tc>
        <w:tc>
          <w:tcPr>
            <w:tcW w:w="488" w:type="pct"/>
            <w:tcBorders>
              <w:left w:val="single" w:sz="2" w:space="0" w:color="FFC000"/>
              <w:right w:val="single" w:sz="4" w:space="0" w:color="FFC000"/>
            </w:tcBorders>
            <w:shd w:val="clear" w:color="auto" w:fill="auto"/>
            <w:vAlign w:val="center"/>
          </w:tcPr>
          <w:p w14:paraId="532B6F83" w14:textId="77777777" w:rsidR="00703B9A" w:rsidRPr="008E3B38" w:rsidRDefault="00703B9A" w:rsidP="003D7C18">
            <w:pPr>
              <w:tabs>
                <w:tab w:val="left" w:pos="284"/>
              </w:tabs>
              <w:spacing w:after="0"/>
              <w:jc w:val="right"/>
              <w:rPr>
                <w:rFonts w:eastAsiaTheme="minorEastAsia" w:cs="Calibri"/>
                <w:color w:val="FF0000"/>
                <w:sz w:val="16"/>
                <w:szCs w:val="16"/>
                <w:highlight w:val="green"/>
                <w:lang w:val="en-US"/>
              </w:rPr>
            </w:pPr>
          </w:p>
        </w:tc>
        <w:tc>
          <w:tcPr>
            <w:tcW w:w="486" w:type="pct"/>
            <w:tcBorders>
              <w:left w:val="single" w:sz="18" w:space="0" w:color="FFC000"/>
              <w:right w:val="single" w:sz="4" w:space="0" w:color="FFC000"/>
            </w:tcBorders>
            <w:shd w:val="clear" w:color="auto" w:fill="auto"/>
            <w:vAlign w:val="center"/>
          </w:tcPr>
          <w:p w14:paraId="4461CFA1" w14:textId="77777777" w:rsidR="00703B9A" w:rsidRPr="008E3B38" w:rsidRDefault="00703B9A" w:rsidP="003D7C18">
            <w:pPr>
              <w:tabs>
                <w:tab w:val="left" w:pos="284"/>
              </w:tabs>
              <w:spacing w:after="0"/>
              <w:jc w:val="right"/>
              <w:rPr>
                <w:rFonts w:eastAsiaTheme="minorEastAsia" w:cs="Calibri"/>
                <w:color w:val="FF0000"/>
                <w:sz w:val="16"/>
                <w:szCs w:val="16"/>
                <w:highlight w:val="green"/>
                <w:lang w:val="en-US"/>
              </w:rPr>
            </w:pPr>
          </w:p>
        </w:tc>
        <w:tc>
          <w:tcPr>
            <w:tcW w:w="486" w:type="pct"/>
            <w:tcBorders>
              <w:left w:val="single" w:sz="4" w:space="0" w:color="FFC000"/>
              <w:right w:val="single" w:sz="4" w:space="0" w:color="FFC000"/>
            </w:tcBorders>
            <w:vAlign w:val="center"/>
          </w:tcPr>
          <w:p w14:paraId="7767218F" w14:textId="77777777" w:rsidR="00703B9A" w:rsidRPr="008E3B38" w:rsidRDefault="00703B9A" w:rsidP="003D7C18">
            <w:pPr>
              <w:tabs>
                <w:tab w:val="left" w:pos="284"/>
              </w:tabs>
              <w:spacing w:after="0"/>
              <w:jc w:val="right"/>
              <w:rPr>
                <w:rFonts w:eastAsiaTheme="minorEastAsia" w:cs="Calibri"/>
                <w:color w:val="FF0000"/>
                <w:sz w:val="16"/>
                <w:szCs w:val="16"/>
                <w:lang w:val="en-US"/>
              </w:rPr>
            </w:pPr>
          </w:p>
        </w:tc>
        <w:tc>
          <w:tcPr>
            <w:tcW w:w="484" w:type="pct"/>
            <w:tcBorders>
              <w:left w:val="single" w:sz="4" w:space="0" w:color="FFC000"/>
              <w:right w:val="single" w:sz="4" w:space="0" w:color="FFC000"/>
            </w:tcBorders>
            <w:shd w:val="clear" w:color="auto" w:fill="auto"/>
            <w:vAlign w:val="center"/>
          </w:tcPr>
          <w:p w14:paraId="4A7F757E" w14:textId="77777777" w:rsidR="00703B9A" w:rsidRPr="008E3B38" w:rsidRDefault="00703B9A" w:rsidP="003D7C18">
            <w:pPr>
              <w:tabs>
                <w:tab w:val="left" w:pos="284"/>
              </w:tabs>
              <w:spacing w:after="0"/>
              <w:jc w:val="right"/>
              <w:rPr>
                <w:rFonts w:eastAsiaTheme="minorEastAsia" w:cs="Calibri"/>
                <w:color w:val="FF0000"/>
                <w:sz w:val="16"/>
                <w:szCs w:val="16"/>
                <w:lang w:val="en-US"/>
              </w:rPr>
            </w:pPr>
          </w:p>
        </w:tc>
      </w:tr>
      <w:tr w:rsidR="00703B9A" w:rsidRPr="005744FA" w14:paraId="4D073E53" w14:textId="77777777" w:rsidTr="0089533A">
        <w:trPr>
          <w:trHeight w:val="254"/>
        </w:trPr>
        <w:tc>
          <w:tcPr>
            <w:tcW w:w="2083" w:type="pct"/>
            <w:tcBorders>
              <w:left w:val="single" w:sz="4" w:space="0" w:color="FFC000"/>
              <w:right w:val="single" w:sz="4" w:space="0" w:color="FFC000"/>
            </w:tcBorders>
            <w:shd w:val="clear" w:color="auto" w:fill="auto"/>
            <w:tcMar>
              <w:right w:w="113" w:type="dxa"/>
            </w:tcMar>
            <w:vAlign w:val="center"/>
          </w:tcPr>
          <w:p w14:paraId="0D0C6E48" w14:textId="77777777" w:rsidR="00703B9A" w:rsidRPr="005744FA" w:rsidRDefault="00703B9A" w:rsidP="003D7C18">
            <w:pPr>
              <w:tabs>
                <w:tab w:val="left" w:pos="284"/>
              </w:tabs>
              <w:spacing w:after="0"/>
              <w:rPr>
                <w:rFonts w:eastAsiaTheme="minorEastAsia" w:cs="Calibri"/>
                <w:sz w:val="16"/>
                <w:szCs w:val="16"/>
                <w:lang w:val="en-US"/>
              </w:rPr>
            </w:pPr>
          </w:p>
        </w:tc>
        <w:tc>
          <w:tcPr>
            <w:tcW w:w="486" w:type="pct"/>
            <w:tcBorders>
              <w:left w:val="single" w:sz="4" w:space="0" w:color="FFC000"/>
              <w:right w:val="single" w:sz="4" w:space="0" w:color="FFC000"/>
            </w:tcBorders>
            <w:shd w:val="clear" w:color="auto" w:fill="auto"/>
            <w:vAlign w:val="center"/>
          </w:tcPr>
          <w:p w14:paraId="30EF713C" w14:textId="77777777" w:rsidR="00703B9A" w:rsidRPr="005744FA" w:rsidRDefault="00703B9A" w:rsidP="003D7C18">
            <w:pPr>
              <w:tabs>
                <w:tab w:val="left" w:pos="284"/>
              </w:tabs>
              <w:spacing w:after="0"/>
              <w:jc w:val="right"/>
              <w:rPr>
                <w:rFonts w:eastAsiaTheme="minorEastAsia" w:cs="Calibri"/>
                <w:sz w:val="16"/>
                <w:szCs w:val="16"/>
                <w:highlight w:val="green"/>
                <w:lang w:val="en-US"/>
              </w:rPr>
            </w:pPr>
          </w:p>
        </w:tc>
        <w:tc>
          <w:tcPr>
            <w:tcW w:w="486" w:type="pct"/>
            <w:tcBorders>
              <w:left w:val="single" w:sz="4" w:space="0" w:color="FFC000"/>
              <w:right w:val="single" w:sz="4" w:space="0" w:color="FFC000"/>
            </w:tcBorders>
            <w:shd w:val="clear" w:color="auto" w:fill="auto"/>
            <w:vAlign w:val="center"/>
          </w:tcPr>
          <w:p w14:paraId="6CD7E3A9" w14:textId="77777777" w:rsidR="00703B9A" w:rsidRPr="005744FA" w:rsidRDefault="00703B9A" w:rsidP="003D7C18">
            <w:pPr>
              <w:tabs>
                <w:tab w:val="left" w:pos="284"/>
              </w:tabs>
              <w:spacing w:after="0"/>
              <w:jc w:val="right"/>
              <w:rPr>
                <w:rFonts w:eastAsiaTheme="minorEastAsia" w:cs="Calibri"/>
                <w:sz w:val="16"/>
                <w:szCs w:val="16"/>
                <w:highlight w:val="green"/>
                <w:lang w:val="en-US"/>
              </w:rPr>
            </w:pPr>
          </w:p>
        </w:tc>
        <w:tc>
          <w:tcPr>
            <w:tcW w:w="488" w:type="pct"/>
            <w:tcBorders>
              <w:left w:val="single" w:sz="2" w:space="0" w:color="FFC000"/>
              <w:right w:val="single" w:sz="4" w:space="0" w:color="FFC000"/>
            </w:tcBorders>
            <w:shd w:val="clear" w:color="auto" w:fill="auto"/>
            <w:vAlign w:val="center"/>
          </w:tcPr>
          <w:p w14:paraId="3145B492" w14:textId="77777777" w:rsidR="00703B9A" w:rsidRPr="005744FA" w:rsidRDefault="00703B9A" w:rsidP="003D7C18">
            <w:pPr>
              <w:tabs>
                <w:tab w:val="left" w:pos="284"/>
              </w:tabs>
              <w:spacing w:after="0"/>
              <w:jc w:val="right"/>
              <w:rPr>
                <w:rFonts w:eastAsiaTheme="minorEastAsia" w:cs="Calibri"/>
                <w:sz w:val="16"/>
                <w:szCs w:val="16"/>
                <w:highlight w:val="green"/>
                <w:lang w:val="en-US"/>
              </w:rPr>
            </w:pPr>
          </w:p>
        </w:tc>
        <w:tc>
          <w:tcPr>
            <w:tcW w:w="486" w:type="pct"/>
            <w:tcBorders>
              <w:left w:val="single" w:sz="18" w:space="0" w:color="FFC000"/>
              <w:right w:val="single" w:sz="4" w:space="0" w:color="FFC000"/>
            </w:tcBorders>
            <w:shd w:val="clear" w:color="auto" w:fill="auto"/>
            <w:vAlign w:val="center"/>
          </w:tcPr>
          <w:p w14:paraId="5A2D0759" w14:textId="77777777" w:rsidR="00703B9A" w:rsidRPr="005744FA" w:rsidRDefault="00703B9A" w:rsidP="003D7C18">
            <w:pPr>
              <w:tabs>
                <w:tab w:val="left" w:pos="284"/>
              </w:tabs>
              <w:spacing w:after="0"/>
              <w:jc w:val="right"/>
              <w:rPr>
                <w:rFonts w:eastAsiaTheme="minorEastAsia" w:cs="Calibri"/>
                <w:sz w:val="16"/>
                <w:szCs w:val="16"/>
                <w:highlight w:val="green"/>
                <w:lang w:val="en-US"/>
              </w:rPr>
            </w:pPr>
          </w:p>
        </w:tc>
        <w:tc>
          <w:tcPr>
            <w:tcW w:w="486" w:type="pct"/>
            <w:tcBorders>
              <w:left w:val="single" w:sz="4" w:space="0" w:color="FFC000"/>
              <w:right w:val="single" w:sz="4" w:space="0" w:color="FFC000"/>
            </w:tcBorders>
            <w:vAlign w:val="center"/>
          </w:tcPr>
          <w:p w14:paraId="0C7FD806" w14:textId="77777777" w:rsidR="00703B9A" w:rsidRPr="005744FA" w:rsidRDefault="00703B9A" w:rsidP="003D7C18">
            <w:pPr>
              <w:tabs>
                <w:tab w:val="left" w:pos="284"/>
              </w:tabs>
              <w:spacing w:after="0"/>
              <w:jc w:val="right"/>
              <w:rPr>
                <w:rFonts w:eastAsiaTheme="minorEastAsia" w:cs="Calibri"/>
                <w:sz w:val="16"/>
                <w:szCs w:val="16"/>
                <w:highlight w:val="green"/>
                <w:lang w:val="en-US"/>
              </w:rPr>
            </w:pPr>
          </w:p>
        </w:tc>
        <w:tc>
          <w:tcPr>
            <w:tcW w:w="484" w:type="pct"/>
            <w:tcBorders>
              <w:left w:val="single" w:sz="4" w:space="0" w:color="FFC000"/>
              <w:right w:val="single" w:sz="4" w:space="0" w:color="FFC000"/>
            </w:tcBorders>
            <w:shd w:val="clear" w:color="auto" w:fill="auto"/>
            <w:vAlign w:val="center"/>
          </w:tcPr>
          <w:p w14:paraId="1F8F06DE" w14:textId="77777777" w:rsidR="00703B9A" w:rsidRPr="005744FA" w:rsidRDefault="00703B9A" w:rsidP="003D7C18">
            <w:pPr>
              <w:tabs>
                <w:tab w:val="left" w:pos="284"/>
              </w:tabs>
              <w:spacing w:after="0"/>
              <w:jc w:val="right"/>
              <w:rPr>
                <w:rFonts w:eastAsiaTheme="minorEastAsia" w:cs="Calibri"/>
                <w:sz w:val="16"/>
                <w:szCs w:val="16"/>
                <w:highlight w:val="green"/>
                <w:lang w:val="en-US"/>
              </w:rPr>
            </w:pPr>
          </w:p>
        </w:tc>
      </w:tr>
      <w:tr w:rsidR="00FE2913" w:rsidRPr="005744FA" w14:paraId="047BABAF" w14:textId="77777777" w:rsidTr="00F41D49">
        <w:trPr>
          <w:trHeight w:val="252"/>
        </w:trPr>
        <w:tc>
          <w:tcPr>
            <w:tcW w:w="2083" w:type="pct"/>
            <w:tcBorders>
              <w:left w:val="single" w:sz="4" w:space="0" w:color="FFC000"/>
              <w:right w:val="single" w:sz="4" w:space="0" w:color="FFC000"/>
            </w:tcBorders>
            <w:shd w:val="clear" w:color="auto" w:fill="auto"/>
            <w:tcMar>
              <w:right w:w="113" w:type="dxa"/>
            </w:tcMar>
            <w:vAlign w:val="bottom"/>
          </w:tcPr>
          <w:p w14:paraId="29EEE187" w14:textId="5E04168F" w:rsidR="00FE2913" w:rsidRPr="005744FA" w:rsidRDefault="00FE2913" w:rsidP="00FE2913">
            <w:pPr>
              <w:tabs>
                <w:tab w:val="left" w:pos="284"/>
              </w:tabs>
              <w:spacing w:after="0"/>
              <w:rPr>
                <w:rFonts w:eastAsiaTheme="minorEastAsia" w:cs="Calibri"/>
                <w:sz w:val="16"/>
                <w:szCs w:val="16"/>
                <w:lang w:val="en-US"/>
              </w:rPr>
            </w:pPr>
            <w:r w:rsidRPr="007316DD">
              <w:rPr>
                <w:rFonts w:ascii="Calibri" w:eastAsiaTheme="minorEastAsia" w:hAnsi="Calibri" w:cs="Calibri"/>
                <w:sz w:val="16"/>
                <w:szCs w:val="16"/>
              </w:rPr>
              <w:t>Κέρδη Προ Φόρων &amp; Προβλέψεων</w:t>
            </w:r>
          </w:p>
        </w:tc>
        <w:tc>
          <w:tcPr>
            <w:tcW w:w="486" w:type="pct"/>
            <w:tcBorders>
              <w:left w:val="single" w:sz="4" w:space="0" w:color="FFC000"/>
              <w:right w:val="single" w:sz="4" w:space="0" w:color="FFC000"/>
            </w:tcBorders>
            <w:shd w:val="clear" w:color="auto" w:fill="auto"/>
            <w:vAlign w:val="center"/>
          </w:tcPr>
          <w:p w14:paraId="4C4EB6AF" w14:textId="3ECAA360" w:rsidR="00FE2913" w:rsidRPr="007116A1"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340</w:t>
            </w:r>
          </w:p>
        </w:tc>
        <w:tc>
          <w:tcPr>
            <w:tcW w:w="486" w:type="pct"/>
            <w:tcBorders>
              <w:left w:val="single" w:sz="4" w:space="0" w:color="FFC000"/>
              <w:right w:val="single" w:sz="4" w:space="0" w:color="FFC000"/>
            </w:tcBorders>
            <w:shd w:val="clear" w:color="auto" w:fill="auto"/>
            <w:vAlign w:val="center"/>
          </w:tcPr>
          <w:p w14:paraId="02C32BB9" w14:textId="052C30B9" w:rsidR="00FE2913" w:rsidRPr="007116A1"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634</w:t>
            </w:r>
          </w:p>
        </w:tc>
        <w:tc>
          <w:tcPr>
            <w:tcW w:w="488" w:type="pct"/>
            <w:tcBorders>
              <w:left w:val="single" w:sz="2" w:space="0" w:color="FFC000"/>
              <w:right w:val="single" w:sz="4" w:space="0" w:color="FFC000"/>
            </w:tcBorders>
            <w:shd w:val="clear" w:color="auto" w:fill="auto"/>
            <w:vAlign w:val="center"/>
          </w:tcPr>
          <w:p w14:paraId="14710B03" w14:textId="7816F635" w:rsidR="00FE2913" w:rsidRPr="007116A1"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-46%</w:t>
            </w:r>
          </w:p>
        </w:tc>
        <w:tc>
          <w:tcPr>
            <w:tcW w:w="486" w:type="pct"/>
            <w:tcBorders>
              <w:left w:val="single" w:sz="18" w:space="0" w:color="FFC000"/>
              <w:right w:val="single" w:sz="4" w:space="0" w:color="FFC000"/>
            </w:tcBorders>
            <w:shd w:val="clear" w:color="auto" w:fill="auto"/>
            <w:vAlign w:val="center"/>
          </w:tcPr>
          <w:p w14:paraId="4FC02B69" w14:textId="55E2C4B7" w:rsidR="00FE2913" w:rsidRPr="007116A1"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974</w:t>
            </w:r>
          </w:p>
        </w:tc>
        <w:tc>
          <w:tcPr>
            <w:tcW w:w="486" w:type="pct"/>
            <w:tcBorders>
              <w:left w:val="single" w:sz="4" w:space="0" w:color="FFC000"/>
              <w:right w:val="single" w:sz="4" w:space="0" w:color="FFC000"/>
            </w:tcBorders>
            <w:vAlign w:val="center"/>
          </w:tcPr>
          <w:p w14:paraId="1A4E4A44" w14:textId="0954482A" w:rsidR="00FE2913"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470</w:t>
            </w:r>
          </w:p>
        </w:tc>
        <w:tc>
          <w:tcPr>
            <w:tcW w:w="484" w:type="pct"/>
            <w:tcBorders>
              <w:left w:val="single" w:sz="4" w:space="0" w:color="FFC000"/>
              <w:right w:val="single" w:sz="4" w:space="0" w:color="FFC000"/>
            </w:tcBorders>
            <w:shd w:val="clear" w:color="auto" w:fill="auto"/>
            <w:vAlign w:val="center"/>
          </w:tcPr>
          <w:p w14:paraId="4883D47D" w14:textId="04B66764" w:rsidR="00FE2913" w:rsidRPr="007116A1"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n/m</w:t>
            </w:r>
          </w:p>
        </w:tc>
      </w:tr>
      <w:tr w:rsidR="00FE2913" w:rsidRPr="005744FA" w14:paraId="7CE54837" w14:textId="77777777" w:rsidTr="0089533A">
        <w:trPr>
          <w:trHeight w:val="252"/>
        </w:trPr>
        <w:tc>
          <w:tcPr>
            <w:tcW w:w="2083" w:type="pct"/>
            <w:tcBorders>
              <w:left w:val="single" w:sz="4" w:space="0" w:color="FFC000"/>
              <w:right w:val="single" w:sz="4" w:space="0" w:color="FFC000"/>
            </w:tcBorders>
            <w:shd w:val="clear" w:color="auto" w:fill="auto"/>
            <w:tcMar>
              <w:right w:w="113" w:type="dxa"/>
            </w:tcMar>
            <w:vAlign w:val="center"/>
          </w:tcPr>
          <w:p w14:paraId="17761E1C" w14:textId="4FA44523" w:rsidR="00FE2913" w:rsidRPr="005744FA" w:rsidRDefault="00FE2913" w:rsidP="00FE2913">
            <w:pPr>
              <w:tabs>
                <w:tab w:val="left" w:pos="284"/>
              </w:tabs>
              <w:spacing w:after="0"/>
              <w:rPr>
                <w:rFonts w:eastAsiaTheme="minorEastAsia" w:cs="Calibri"/>
                <w:sz w:val="16"/>
                <w:szCs w:val="16"/>
                <w:lang w:val="en-US"/>
              </w:rPr>
            </w:pPr>
            <w:r w:rsidRPr="007316DD">
              <w:rPr>
                <w:rFonts w:eastAsiaTheme="minorEastAsia" w:cs="Calibri"/>
                <w:color w:val="003C96" w:themeColor="text2"/>
                <w:sz w:val="16"/>
                <w:szCs w:val="16"/>
                <w:lang w:val="en-US"/>
              </w:rPr>
              <w:t>-</w:t>
            </w:r>
            <w:r w:rsidRPr="007316DD">
              <w:rPr>
                <w:rFonts w:cs="Calibri"/>
                <w:color w:val="003C96" w:themeColor="text2"/>
                <w:sz w:val="16"/>
                <w:szCs w:val="16"/>
              </w:rPr>
              <w:t xml:space="preserve"> εξαιρουμένων εκτάκτων εξόδων </w:t>
            </w:r>
          </w:p>
        </w:tc>
        <w:tc>
          <w:tcPr>
            <w:tcW w:w="486" w:type="pct"/>
            <w:tcBorders>
              <w:left w:val="single" w:sz="4" w:space="0" w:color="FFC000"/>
              <w:right w:val="single" w:sz="4" w:space="0" w:color="FFC000"/>
            </w:tcBorders>
            <w:shd w:val="clear" w:color="auto" w:fill="auto"/>
            <w:vAlign w:val="center"/>
          </w:tcPr>
          <w:p w14:paraId="296DE13B" w14:textId="45177DC8" w:rsidR="00FE2913" w:rsidRPr="00E73EF8"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380</w:t>
            </w:r>
          </w:p>
        </w:tc>
        <w:tc>
          <w:tcPr>
            <w:tcW w:w="486" w:type="pct"/>
            <w:tcBorders>
              <w:left w:val="single" w:sz="4" w:space="0" w:color="FFC000"/>
              <w:right w:val="single" w:sz="4" w:space="0" w:color="FFC000"/>
            </w:tcBorders>
            <w:shd w:val="clear" w:color="auto" w:fill="auto"/>
            <w:vAlign w:val="center"/>
          </w:tcPr>
          <w:p w14:paraId="77664BBA" w14:textId="302C7672" w:rsidR="00FE2913" w:rsidRPr="00E73EF8"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253</w:t>
            </w:r>
          </w:p>
        </w:tc>
        <w:tc>
          <w:tcPr>
            <w:tcW w:w="488" w:type="pct"/>
            <w:tcBorders>
              <w:left w:val="single" w:sz="2" w:space="0" w:color="FFC000"/>
              <w:right w:val="single" w:sz="4" w:space="0" w:color="FFC000"/>
            </w:tcBorders>
            <w:shd w:val="clear" w:color="auto" w:fill="auto"/>
            <w:vAlign w:val="center"/>
          </w:tcPr>
          <w:p w14:paraId="2A7420B9" w14:textId="14F019E0" w:rsidR="00FE2913" w:rsidRPr="00E73EF8"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50%</w:t>
            </w:r>
          </w:p>
        </w:tc>
        <w:tc>
          <w:tcPr>
            <w:tcW w:w="486" w:type="pct"/>
            <w:tcBorders>
              <w:left w:val="single" w:sz="18" w:space="0" w:color="FFC000"/>
              <w:right w:val="single" w:sz="4" w:space="0" w:color="FFC000"/>
            </w:tcBorders>
            <w:shd w:val="clear" w:color="auto" w:fill="auto"/>
            <w:vAlign w:val="center"/>
          </w:tcPr>
          <w:p w14:paraId="44182050" w14:textId="367C6A4B" w:rsidR="00FE2913" w:rsidRPr="00E73EF8"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633</w:t>
            </w:r>
          </w:p>
        </w:tc>
        <w:tc>
          <w:tcPr>
            <w:tcW w:w="486" w:type="pct"/>
            <w:tcBorders>
              <w:left w:val="single" w:sz="4" w:space="0" w:color="FFC000"/>
              <w:right w:val="single" w:sz="4" w:space="0" w:color="FFC000"/>
            </w:tcBorders>
            <w:vAlign w:val="center"/>
          </w:tcPr>
          <w:p w14:paraId="6C9C855C" w14:textId="3ED82AE8" w:rsidR="00FE2913"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470</w:t>
            </w:r>
          </w:p>
        </w:tc>
        <w:tc>
          <w:tcPr>
            <w:tcW w:w="484" w:type="pct"/>
            <w:tcBorders>
              <w:left w:val="single" w:sz="4" w:space="0" w:color="FFC000"/>
              <w:right w:val="single" w:sz="4" w:space="0" w:color="FFC000"/>
            </w:tcBorders>
            <w:shd w:val="clear" w:color="auto" w:fill="auto"/>
            <w:vAlign w:val="center"/>
          </w:tcPr>
          <w:p w14:paraId="4BB514A1" w14:textId="4EEC3532" w:rsidR="00FE2913" w:rsidRPr="00E73EF8"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35%</w:t>
            </w:r>
          </w:p>
        </w:tc>
      </w:tr>
      <w:tr w:rsidR="00703B9A" w:rsidRPr="005744FA" w14:paraId="253A850D" w14:textId="77777777" w:rsidTr="0089533A">
        <w:trPr>
          <w:trHeight w:val="87"/>
        </w:trPr>
        <w:tc>
          <w:tcPr>
            <w:tcW w:w="2083" w:type="pct"/>
            <w:tcBorders>
              <w:left w:val="single" w:sz="4" w:space="0" w:color="FFC000"/>
              <w:right w:val="single" w:sz="4" w:space="0" w:color="FFC000"/>
            </w:tcBorders>
            <w:shd w:val="clear" w:color="auto" w:fill="FFFFFF" w:themeFill="background1"/>
            <w:tcMar>
              <w:right w:w="113" w:type="dxa"/>
            </w:tcMar>
            <w:vAlign w:val="center"/>
          </w:tcPr>
          <w:p w14:paraId="03105D1F" w14:textId="77777777" w:rsidR="00703B9A" w:rsidRPr="005744FA" w:rsidRDefault="00703B9A" w:rsidP="003D7C18">
            <w:pPr>
              <w:tabs>
                <w:tab w:val="left" w:pos="284"/>
              </w:tabs>
              <w:spacing w:after="0"/>
              <w:rPr>
                <w:rFonts w:eastAsiaTheme="minorEastAsia" w:cs="Calibri"/>
                <w:sz w:val="10"/>
                <w:szCs w:val="16"/>
                <w:lang w:val="en-US"/>
              </w:rPr>
            </w:pPr>
          </w:p>
        </w:tc>
        <w:tc>
          <w:tcPr>
            <w:tcW w:w="486" w:type="pct"/>
            <w:tcBorders>
              <w:left w:val="single" w:sz="4" w:space="0" w:color="FFC000"/>
              <w:right w:val="single" w:sz="4" w:space="0" w:color="FFC000"/>
            </w:tcBorders>
            <w:shd w:val="clear" w:color="auto" w:fill="FFFFFF" w:themeFill="background1"/>
            <w:vAlign w:val="center"/>
          </w:tcPr>
          <w:p w14:paraId="25D11A8C" w14:textId="77777777" w:rsidR="00703B9A" w:rsidRPr="006C7864" w:rsidRDefault="00703B9A" w:rsidP="003D7C18">
            <w:pPr>
              <w:tabs>
                <w:tab w:val="left" w:pos="284"/>
              </w:tabs>
              <w:spacing w:after="0"/>
              <w:jc w:val="right"/>
              <w:rPr>
                <w:rFonts w:eastAsiaTheme="minorEastAsia" w:cs="Calibri"/>
                <w:color w:val="FF0000"/>
                <w:sz w:val="10"/>
                <w:szCs w:val="16"/>
                <w:highlight w:val="green"/>
                <w:lang w:val="en-US"/>
              </w:rPr>
            </w:pPr>
          </w:p>
        </w:tc>
        <w:tc>
          <w:tcPr>
            <w:tcW w:w="486" w:type="pct"/>
            <w:tcBorders>
              <w:left w:val="single" w:sz="4" w:space="0" w:color="FFC000"/>
              <w:right w:val="single" w:sz="4" w:space="0" w:color="FFC000"/>
            </w:tcBorders>
            <w:shd w:val="clear" w:color="auto" w:fill="FFFFFF" w:themeFill="background1"/>
            <w:vAlign w:val="center"/>
          </w:tcPr>
          <w:p w14:paraId="61F42DBF" w14:textId="77777777" w:rsidR="00703B9A" w:rsidRPr="006C7864" w:rsidRDefault="00703B9A" w:rsidP="003D7C18">
            <w:pPr>
              <w:tabs>
                <w:tab w:val="left" w:pos="284"/>
              </w:tabs>
              <w:spacing w:after="0"/>
              <w:jc w:val="right"/>
              <w:rPr>
                <w:rFonts w:eastAsiaTheme="minorEastAsia" w:cs="Calibri"/>
                <w:color w:val="FF0000"/>
                <w:sz w:val="10"/>
                <w:szCs w:val="16"/>
                <w:highlight w:val="green"/>
                <w:lang w:val="en-US"/>
              </w:rPr>
            </w:pPr>
          </w:p>
        </w:tc>
        <w:tc>
          <w:tcPr>
            <w:tcW w:w="488" w:type="pct"/>
            <w:tcBorders>
              <w:left w:val="single" w:sz="2" w:space="0" w:color="FFC000"/>
              <w:right w:val="single" w:sz="4" w:space="0" w:color="FFC000"/>
            </w:tcBorders>
            <w:shd w:val="clear" w:color="auto" w:fill="FFFFFF" w:themeFill="background1"/>
            <w:vAlign w:val="center"/>
          </w:tcPr>
          <w:p w14:paraId="6F8BF4C4" w14:textId="77777777" w:rsidR="00703B9A" w:rsidRPr="006C7864" w:rsidRDefault="00703B9A" w:rsidP="003D7C18">
            <w:pPr>
              <w:tabs>
                <w:tab w:val="left" w:pos="284"/>
              </w:tabs>
              <w:spacing w:after="0"/>
              <w:jc w:val="right"/>
              <w:rPr>
                <w:rFonts w:eastAsiaTheme="minorEastAsia" w:cs="Calibri"/>
                <w:color w:val="FF0000"/>
                <w:sz w:val="10"/>
                <w:szCs w:val="16"/>
                <w:highlight w:val="green"/>
                <w:lang w:val="en-US"/>
              </w:rPr>
            </w:pPr>
          </w:p>
        </w:tc>
        <w:tc>
          <w:tcPr>
            <w:tcW w:w="486" w:type="pct"/>
            <w:tcBorders>
              <w:left w:val="single" w:sz="18" w:space="0" w:color="FFC000"/>
              <w:right w:val="single" w:sz="4" w:space="0" w:color="FFC000"/>
            </w:tcBorders>
            <w:shd w:val="clear" w:color="auto" w:fill="FFFFFF" w:themeFill="background1"/>
            <w:vAlign w:val="center"/>
          </w:tcPr>
          <w:p w14:paraId="6739F11F" w14:textId="77777777" w:rsidR="00703B9A" w:rsidRPr="006C7864" w:rsidRDefault="00703B9A" w:rsidP="003D7C18">
            <w:pPr>
              <w:tabs>
                <w:tab w:val="left" w:pos="284"/>
              </w:tabs>
              <w:spacing w:after="0"/>
              <w:jc w:val="right"/>
              <w:rPr>
                <w:rFonts w:eastAsiaTheme="minorEastAsia" w:cs="Calibri"/>
                <w:color w:val="FF0000"/>
                <w:sz w:val="10"/>
                <w:szCs w:val="16"/>
                <w:highlight w:val="green"/>
                <w:lang w:val="en-US"/>
              </w:rPr>
            </w:pPr>
          </w:p>
        </w:tc>
        <w:tc>
          <w:tcPr>
            <w:tcW w:w="486" w:type="pct"/>
            <w:tcBorders>
              <w:left w:val="single" w:sz="4" w:space="0" w:color="FFC000"/>
              <w:right w:val="single" w:sz="4" w:space="0" w:color="FFC000"/>
            </w:tcBorders>
            <w:shd w:val="clear" w:color="auto" w:fill="FFFFFF" w:themeFill="background1"/>
            <w:vAlign w:val="center"/>
          </w:tcPr>
          <w:p w14:paraId="34E41E16" w14:textId="77777777" w:rsidR="00703B9A" w:rsidRPr="006C7864" w:rsidRDefault="00703B9A" w:rsidP="003D7C18">
            <w:pPr>
              <w:tabs>
                <w:tab w:val="left" w:pos="284"/>
              </w:tabs>
              <w:spacing w:after="0"/>
              <w:jc w:val="right"/>
              <w:rPr>
                <w:rFonts w:eastAsiaTheme="minorEastAsia" w:cs="Calibri"/>
                <w:color w:val="FF0000"/>
                <w:sz w:val="10"/>
                <w:szCs w:val="16"/>
                <w:highlight w:val="green"/>
                <w:lang w:val="en-US"/>
              </w:rPr>
            </w:pPr>
          </w:p>
        </w:tc>
        <w:tc>
          <w:tcPr>
            <w:tcW w:w="484" w:type="pct"/>
            <w:tcBorders>
              <w:left w:val="single" w:sz="4" w:space="0" w:color="FFC000"/>
              <w:right w:val="single" w:sz="4" w:space="0" w:color="FFC000"/>
            </w:tcBorders>
            <w:shd w:val="clear" w:color="auto" w:fill="FFFFFF" w:themeFill="background1"/>
            <w:vAlign w:val="center"/>
          </w:tcPr>
          <w:p w14:paraId="2E62F415" w14:textId="77777777" w:rsidR="00703B9A" w:rsidRPr="006C7864" w:rsidRDefault="00703B9A" w:rsidP="003D7C18">
            <w:pPr>
              <w:tabs>
                <w:tab w:val="left" w:pos="284"/>
              </w:tabs>
              <w:spacing w:after="0"/>
              <w:jc w:val="right"/>
              <w:rPr>
                <w:rFonts w:eastAsiaTheme="minorEastAsia" w:cs="Calibri"/>
                <w:color w:val="FF0000"/>
                <w:sz w:val="10"/>
                <w:szCs w:val="16"/>
                <w:highlight w:val="green"/>
                <w:lang w:val="en-US"/>
              </w:rPr>
            </w:pPr>
          </w:p>
        </w:tc>
      </w:tr>
      <w:tr w:rsidR="00BA5DF0" w:rsidRPr="005744FA" w14:paraId="238FEE90" w14:textId="77777777" w:rsidTr="0082001C">
        <w:trPr>
          <w:trHeight w:val="280"/>
        </w:trPr>
        <w:tc>
          <w:tcPr>
            <w:tcW w:w="2083" w:type="pct"/>
            <w:tcBorders>
              <w:left w:val="single" w:sz="4" w:space="0" w:color="FFC000"/>
              <w:right w:val="single" w:sz="4" w:space="0" w:color="FFC000"/>
            </w:tcBorders>
            <w:shd w:val="clear" w:color="auto" w:fill="FFFFFF" w:themeFill="background1"/>
            <w:tcMar>
              <w:right w:w="113" w:type="dxa"/>
            </w:tcMar>
            <w:vAlign w:val="center"/>
          </w:tcPr>
          <w:p w14:paraId="510EF8C5" w14:textId="0C3FEC46" w:rsidR="00BA5DF0" w:rsidRPr="005744FA" w:rsidRDefault="00BA5DF0" w:rsidP="00BA5DF0">
            <w:pPr>
              <w:tabs>
                <w:tab w:val="left" w:pos="284"/>
              </w:tabs>
              <w:spacing w:after="0"/>
              <w:rPr>
                <w:rFonts w:eastAsiaTheme="minorEastAsia" w:cs="Calibri"/>
                <w:sz w:val="16"/>
                <w:szCs w:val="16"/>
                <w:lang w:val="en-US"/>
              </w:rPr>
            </w:pPr>
            <w:r>
              <w:rPr>
                <w:rFonts w:ascii="Calibri" w:eastAsiaTheme="minorEastAsia" w:hAnsi="Calibri" w:cs="Calibri"/>
                <w:sz w:val="16"/>
                <w:szCs w:val="16"/>
              </w:rPr>
              <w:t>Έξοδο Προβλέψεων</w:t>
            </w:r>
          </w:p>
        </w:tc>
        <w:tc>
          <w:tcPr>
            <w:tcW w:w="486" w:type="pct"/>
            <w:tcBorders>
              <w:left w:val="single" w:sz="4" w:space="0" w:color="FFC000"/>
              <w:right w:val="single" w:sz="4" w:space="0" w:color="FFC000"/>
            </w:tcBorders>
            <w:shd w:val="clear" w:color="auto" w:fill="FFFFFF" w:themeFill="background1"/>
            <w:vAlign w:val="center"/>
          </w:tcPr>
          <w:p w14:paraId="466A8E7C" w14:textId="1783F3CB" w:rsidR="00BA5DF0" w:rsidRPr="008A08D2" w:rsidRDefault="00BA5DF0" w:rsidP="00BA5DF0">
            <w:pPr>
              <w:tabs>
                <w:tab w:val="left" w:pos="284"/>
              </w:tabs>
              <w:spacing w:after="0"/>
              <w:jc w:val="right"/>
              <w:rPr>
                <w:rFonts w:eastAsiaTheme="minorEastAsia" w:cs="Calibri"/>
                <w:sz w:val="16"/>
                <w:szCs w:val="16"/>
                <w:lang w:val="en-US"/>
              </w:rPr>
            </w:pPr>
            <w:r>
              <w:rPr>
                <w:rFonts w:eastAsiaTheme="minorEastAsia" w:cs="Calibri"/>
                <w:sz w:val="16"/>
                <w:szCs w:val="16"/>
                <w:lang w:val="en-US"/>
              </w:rPr>
              <w:t>(2</w:t>
            </w:r>
            <w:r>
              <w:rPr>
                <w:rFonts w:eastAsiaTheme="minorEastAsia" w:cs="Calibri"/>
                <w:sz w:val="16"/>
                <w:szCs w:val="16"/>
              </w:rPr>
              <w:t>.</w:t>
            </w:r>
            <w:r>
              <w:rPr>
                <w:rFonts w:eastAsiaTheme="minorEastAsia" w:cs="Calibri"/>
                <w:sz w:val="16"/>
                <w:szCs w:val="16"/>
                <w:lang w:val="en-US"/>
              </w:rPr>
              <w:t>279)</w:t>
            </w:r>
          </w:p>
        </w:tc>
        <w:tc>
          <w:tcPr>
            <w:tcW w:w="486" w:type="pct"/>
            <w:tcBorders>
              <w:left w:val="single" w:sz="4" w:space="0" w:color="FFC000"/>
              <w:right w:val="single" w:sz="4" w:space="0" w:color="FFC000"/>
            </w:tcBorders>
            <w:shd w:val="clear" w:color="auto" w:fill="FFFFFF" w:themeFill="background1"/>
            <w:vAlign w:val="center"/>
          </w:tcPr>
          <w:p w14:paraId="00E8FAA0" w14:textId="301960B8" w:rsidR="00BA5DF0" w:rsidRPr="008A08D2" w:rsidRDefault="00BA5DF0" w:rsidP="00BA5DF0">
            <w:pPr>
              <w:tabs>
                <w:tab w:val="left" w:pos="284"/>
              </w:tabs>
              <w:spacing w:after="0"/>
              <w:jc w:val="right"/>
              <w:rPr>
                <w:rFonts w:eastAsiaTheme="minorEastAsia" w:cs="Calibri"/>
                <w:sz w:val="16"/>
                <w:szCs w:val="16"/>
                <w:lang w:val="en-US"/>
              </w:rPr>
            </w:pPr>
            <w:r>
              <w:rPr>
                <w:rFonts w:eastAsiaTheme="minorEastAsia" w:cs="Calibri"/>
                <w:sz w:val="16"/>
                <w:szCs w:val="16"/>
                <w:lang w:val="en-US"/>
              </w:rPr>
              <w:t>(961)</w:t>
            </w:r>
          </w:p>
        </w:tc>
        <w:tc>
          <w:tcPr>
            <w:tcW w:w="488" w:type="pct"/>
            <w:tcBorders>
              <w:left w:val="single" w:sz="2" w:space="0" w:color="FFC000"/>
              <w:right w:val="single" w:sz="4" w:space="0" w:color="FFC000"/>
            </w:tcBorders>
            <w:shd w:val="clear" w:color="auto" w:fill="FFFFFF" w:themeFill="background1"/>
          </w:tcPr>
          <w:p w14:paraId="04E37BDC" w14:textId="116DC55F" w:rsidR="00BA5DF0" w:rsidRPr="008A08D2" w:rsidRDefault="00BA5DF0" w:rsidP="00BA5DF0">
            <w:pPr>
              <w:tabs>
                <w:tab w:val="left" w:pos="284"/>
              </w:tabs>
              <w:spacing w:after="0"/>
              <w:jc w:val="right"/>
              <w:rPr>
                <w:rFonts w:eastAsiaTheme="minorEastAsia" w:cs="Calibri"/>
                <w:sz w:val="16"/>
                <w:szCs w:val="16"/>
                <w:lang w:val="en-US"/>
              </w:rPr>
            </w:pPr>
            <w:r w:rsidRPr="00A65074">
              <w:rPr>
                <w:rFonts w:eastAsiaTheme="minorEastAsia" w:cs="Calibri"/>
                <w:color w:val="000000" w:themeColor="text1"/>
                <w:sz w:val="16"/>
                <w:szCs w:val="16"/>
                <w:lang w:val="en-US"/>
              </w:rPr>
              <w:t>n/m</w:t>
            </w:r>
          </w:p>
        </w:tc>
        <w:tc>
          <w:tcPr>
            <w:tcW w:w="486" w:type="pct"/>
            <w:tcBorders>
              <w:left w:val="single" w:sz="18" w:space="0" w:color="FFC000"/>
              <w:right w:val="single" w:sz="4" w:space="0" w:color="FFC000"/>
            </w:tcBorders>
            <w:shd w:val="clear" w:color="auto" w:fill="FFFFFF" w:themeFill="background1"/>
            <w:vAlign w:val="center"/>
          </w:tcPr>
          <w:p w14:paraId="26134F16" w14:textId="22AD2F31" w:rsidR="00BA5DF0" w:rsidRPr="008A08D2" w:rsidRDefault="00BA5DF0" w:rsidP="00BA5DF0">
            <w:pPr>
              <w:tabs>
                <w:tab w:val="left" w:pos="284"/>
              </w:tabs>
              <w:spacing w:after="0"/>
              <w:jc w:val="right"/>
              <w:rPr>
                <w:rFonts w:eastAsiaTheme="minorEastAsia" w:cs="Calibri"/>
                <w:sz w:val="16"/>
                <w:szCs w:val="16"/>
                <w:lang w:val="en-US"/>
              </w:rPr>
            </w:pPr>
            <w:r>
              <w:rPr>
                <w:rFonts w:eastAsiaTheme="minorEastAsia" w:cs="Calibri"/>
                <w:sz w:val="16"/>
                <w:szCs w:val="16"/>
                <w:lang w:val="en-US"/>
              </w:rPr>
              <w:t>(3</w:t>
            </w:r>
            <w:r>
              <w:rPr>
                <w:rFonts w:eastAsiaTheme="minorEastAsia" w:cs="Calibri"/>
                <w:sz w:val="16"/>
                <w:szCs w:val="16"/>
              </w:rPr>
              <w:t>.</w:t>
            </w:r>
            <w:r>
              <w:rPr>
                <w:rFonts w:eastAsiaTheme="minorEastAsia" w:cs="Calibri"/>
                <w:sz w:val="16"/>
                <w:szCs w:val="16"/>
                <w:lang w:val="en-US"/>
              </w:rPr>
              <w:t>240)</w:t>
            </w:r>
          </w:p>
        </w:tc>
        <w:tc>
          <w:tcPr>
            <w:tcW w:w="486" w:type="pct"/>
            <w:tcBorders>
              <w:left w:val="single" w:sz="4" w:space="0" w:color="FFC000"/>
              <w:right w:val="single" w:sz="4" w:space="0" w:color="FFC000"/>
            </w:tcBorders>
            <w:shd w:val="clear" w:color="auto" w:fill="FFFFFF" w:themeFill="background1"/>
            <w:vAlign w:val="center"/>
          </w:tcPr>
          <w:p w14:paraId="4DCDCBC0" w14:textId="2FBDB4B2" w:rsidR="00BA5DF0" w:rsidRDefault="00BA5DF0" w:rsidP="00BA5DF0">
            <w:pPr>
              <w:tabs>
                <w:tab w:val="left" w:pos="284"/>
              </w:tabs>
              <w:spacing w:after="0"/>
              <w:jc w:val="right"/>
              <w:rPr>
                <w:rFonts w:eastAsiaTheme="minorEastAsia" w:cs="Calibri"/>
                <w:sz w:val="16"/>
                <w:szCs w:val="16"/>
                <w:lang w:val="en-US"/>
              </w:rPr>
            </w:pPr>
            <w:r>
              <w:rPr>
                <w:rFonts w:eastAsiaTheme="minorEastAsia" w:cs="Calibri"/>
                <w:sz w:val="16"/>
                <w:szCs w:val="16"/>
                <w:lang w:val="en-US"/>
              </w:rPr>
              <w:t>(580)</w:t>
            </w:r>
          </w:p>
        </w:tc>
        <w:tc>
          <w:tcPr>
            <w:tcW w:w="484" w:type="pct"/>
            <w:tcBorders>
              <w:left w:val="single" w:sz="4" w:space="0" w:color="FFC000"/>
              <w:right w:val="single" w:sz="4" w:space="0" w:color="FFC000"/>
            </w:tcBorders>
            <w:shd w:val="clear" w:color="auto" w:fill="FFFFFF" w:themeFill="background1"/>
          </w:tcPr>
          <w:p w14:paraId="6B0E6D9C" w14:textId="6E6E7B0C" w:rsidR="00BA5DF0" w:rsidRPr="008A08D2" w:rsidRDefault="00BA5DF0" w:rsidP="00BA5DF0">
            <w:pPr>
              <w:tabs>
                <w:tab w:val="left" w:pos="284"/>
              </w:tabs>
              <w:spacing w:after="0"/>
              <w:jc w:val="right"/>
              <w:rPr>
                <w:rFonts w:eastAsiaTheme="minorEastAsia" w:cs="Calibri"/>
                <w:sz w:val="16"/>
                <w:szCs w:val="16"/>
                <w:lang w:val="en-US"/>
              </w:rPr>
            </w:pPr>
            <w:r w:rsidRPr="00A65074">
              <w:rPr>
                <w:rFonts w:eastAsiaTheme="minorEastAsia" w:cs="Calibri"/>
                <w:color w:val="000000" w:themeColor="text1"/>
                <w:sz w:val="16"/>
                <w:szCs w:val="16"/>
                <w:lang w:val="en-US"/>
              </w:rPr>
              <w:t>n/m</w:t>
            </w:r>
          </w:p>
        </w:tc>
      </w:tr>
      <w:tr w:rsidR="00BA5DF0" w:rsidRPr="005744FA" w14:paraId="66805ED3" w14:textId="77777777" w:rsidTr="0082001C">
        <w:trPr>
          <w:trHeight w:val="224"/>
        </w:trPr>
        <w:tc>
          <w:tcPr>
            <w:tcW w:w="2083" w:type="pct"/>
            <w:tcBorders>
              <w:left w:val="single" w:sz="4" w:space="0" w:color="FFC000"/>
              <w:right w:val="single" w:sz="4" w:space="0" w:color="FFC000"/>
            </w:tcBorders>
            <w:shd w:val="clear" w:color="auto" w:fill="FFFFFF" w:themeFill="background1"/>
            <w:tcMar>
              <w:right w:w="113" w:type="dxa"/>
            </w:tcMar>
          </w:tcPr>
          <w:p w14:paraId="63BFCB93" w14:textId="49B7B477" w:rsidR="00BA5DF0" w:rsidRPr="00314AF7" w:rsidRDefault="00BA5DF0" w:rsidP="00BA5DF0">
            <w:pPr>
              <w:tabs>
                <w:tab w:val="left" w:pos="284"/>
              </w:tabs>
              <w:spacing w:after="0"/>
              <w:rPr>
                <w:rFonts w:cs="Calibri"/>
                <w:sz w:val="16"/>
                <w:szCs w:val="16"/>
              </w:rPr>
            </w:pPr>
            <w:r w:rsidRPr="00D837BC">
              <w:rPr>
                <w:rFonts w:cs="Calibri"/>
                <w:color w:val="003C96" w:themeColor="text2"/>
                <w:sz w:val="16"/>
                <w:szCs w:val="16"/>
              </w:rPr>
              <w:t>-</w:t>
            </w:r>
            <w:r>
              <w:t xml:space="preserve"> </w:t>
            </w:r>
            <w:r>
              <w:rPr>
                <w:rFonts w:cs="Calibri"/>
                <w:color w:val="003C96" w:themeColor="text2"/>
                <w:sz w:val="16"/>
                <w:szCs w:val="16"/>
              </w:rPr>
              <w:t xml:space="preserve">εκ των οποίων έκτακτες προβλέψεις </w:t>
            </w:r>
            <w:r w:rsidRPr="007316DD">
              <w:rPr>
                <w:rFonts w:cs="Calibri"/>
                <w:color w:val="003C96" w:themeColor="text2"/>
                <w:sz w:val="16"/>
                <w:szCs w:val="16"/>
                <w:vertAlign w:val="superscript"/>
              </w:rPr>
              <w:t>1</w:t>
            </w:r>
          </w:p>
        </w:tc>
        <w:tc>
          <w:tcPr>
            <w:tcW w:w="486" w:type="pct"/>
            <w:tcBorders>
              <w:left w:val="single" w:sz="4" w:space="0" w:color="FFC000"/>
              <w:right w:val="single" w:sz="4" w:space="0" w:color="FFC000"/>
            </w:tcBorders>
            <w:shd w:val="clear" w:color="auto" w:fill="FFFFFF" w:themeFill="background1"/>
            <w:vAlign w:val="center"/>
          </w:tcPr>
          <w:p w14:paraId="4FF1A842" w14:textId="73682A0A" w:rsidR="00BA5DF0" w:rsidRPr="00C16398" w:rsidRDefault="00BA5DF0" w:rsidP="00BA5DF0">
            <w:pPr>
              <w:tabs>
                <w:tab w:val="left" w:pos="284"/>
              </w:tabs>
              <w:spacing w:after="0"/>
              <w:jc w:val="right"/>
              <w:rPr>
                <w:rFonts w:eastAsiaTheme="minorEastAsia" w:cs="Calibri"/>
                <w:sz w:val="16"/>
                <w:szCs w:val="16"/>
                <w:lang w:val="en-US"/>
              </w:rPr>
            </w:pPr>
            <w:r w:rsidRPr="00C16398">
              <w:rPr>
                <w:rFonts w:eastAsiaTheme="minorEastAsia" w:cs="Calibri"/>
                <w:sz w:val="16"/>
                <w:szCs w:val="16"/>
                <w:lang w:val="en-US"/>
              </w:rPr>
              <w:t>(</w:t>
            </w:r>
            <w:r>
              <w:rPr>
                <w:rFonts w:eastAsiaTheme="minorEastAsia" w:cs="Calibri"/>
                <w:sz w:val="16"/>
                <w:szCs w:val="16"/>
                <w:lang w:val="en-US"/>
              </w:rPr>
              <w:t>2</w:t>
            </w:r>
            <w:r>
              <w:rPr>
                <w:rFonts w:eastAsiaTheme="minorEastAsia" w:cs="Calibri"/>
                <w:sz w:val="16"/>
                <w:szCs w:val="16"/>
              </w:rPr>
              <w:t>.</w:t>
            </w:r>
            <w:r>
              <w:rPr>
                <w:rFonts w:eastAsiaTheme="minorEastAsia" w:cs="Calibri"/>
                <w:sz w:val="16"/>
                <w:szCs w:val="16"/>
                <w:lang w:val="en-US"/>
              </w:rPr>
              <w:t>207</w:t>
            </w:r>
            <w:r w:rsidRPr="00C16398">
              <w:rPr>
                <w:rFonts w:eastAsiaTheme="minorEastAsia" w:cs="Calibri"/>
                <w:sz w:val="16"/>
                <w:szCs w:val="16"/>
                <w:lang w:val="en-US"/>
              </w:rPr>
              <w:t>)</w:t>
            </w:r>
          </w:p>
        </w:tc>
        <w:tc>
          <w:tcPr>
            <w:tcW w:w="486" w:type="pct"/>
            <w:tcBorders>
              <w:left w:val="single" w:sz="4" w:space="0" w:color="FFC000"/>
              <w:right w:val="single" w:sz="4" w:space="0" w:color="FFC000"/>
            </w:tcBorders>
            <w:shd w:val="clear" w:color="auto" w:fill="FFFFFF" w:themeFill="background1"/>
            <w:vAlign w:val="center"/>
          </w:tcPr>
          <w:p w14:paraId="04D0CE5D" w14:textId="0FF38288" w:rsidR="00BA5DF0" w:rsidRPr="00C16398" w:rsidRDefault="00BA5DF0" w:rsidP="00BA5DF0">
            <w:pPr>
              <w:tabs>
                <w:tab w:val="left" w:pos="284"/>
              </w:tabs>
              <w:spacing w:after="0"/>
              <w:jc w:val="right"/>
              <w:rPr>
                <w:rFonts w:eastAsiaTheme="minorEastAsia" w:cs="Calibri"/>
                <w:sz w:val="16"/>
                <w:szCs w:val="16"/>
                <w:lang w:val="en-US"/>
              </w:rPr>
            </w:pPr>
            <w:r w:rsidRPr="00C16398">
              <w:rPr>
                <w:rFonts w:eastAsiaTheme="minorEastAsia" w:cs="Calibri"/>
                <w:sz w:val="16"/>
                <w:szCs w:val="16"/>
              </w:rPr>
              <w:t>(</w:t>
            </w:r>
            <w:r>
              <w:rPr>
                <w:rFonts w:eastAsiaTheme="minorEastAsia" w:cs="Calibri"/>
                <w:sz w:val="16"/>
                <w:szCs w:val="16"/>
                <w:lang w:val="en-US"/>
              </w:rPr>
              <w:t>829</w:t>
            </w:r>
            <w:r w:rsidRPr="00C16398">
              <w:rPr>
                <w:rFonts w:eastAsiaTheme="minorEastAsia" w:cs="Calibri"/>
                <w:sz w:val="16"/>
                <w:szCs w:val="16"/>
              </w:rPr>
              <w:t>)</w:t>
            </w:r>
          </w:p>
        </w:tc>
        <w:tc>
          <w:tcPr>
            <w:tcW w:w="488" w:type="pct"/>
            <w:tcBorders>
              <w:left w:val="single" w:sz="2" w:space="0" w:color="FFC000"/>
              <w:right w:val="single" w:sz="4" w:space="0" w:color="FFC000"/>
            </w:tcBorders>
            <w:shd w:val="clear" w:color="auto" w:fill="FFFFFF" w:themeFill="background1"/>
          </w:tcPr>
          <w:p w14:paraId="598965DA" w14:textId="296F2C11" w:rsidR="00BA5DF0" w:rsidRPr="00C16398" w:rsidRDefault="00BA5DF0" w:rsidP="00BA5DF0">
            <w:pPr>
              <w:tabs>
                <w:tab w:val="left" w:pos="284"/>
              </w:tabs>
              <w:spacing w:after="0"/>
              <w:jc w:val="right"/>
              <w:rPr>
                <w:rFonts w:eastAsiaTheme="minorEastAsia" w:cs="Calibri"/>
                <w:sz w:val="16"/>
                <w:szCs w:val="16"/>
                <w:lang w:val="en-US"/>
              </w:rPr>
            </w:pPr>
            <w:r w:rsidRPr="00A65074">
              <w:rPr>
                <w:rFonts w:eastAsiaTheme="minorEastAsia" w:cs="Calibri"/>
                <w:color w:val="000000" w:themeColor="text1"/>
                <w:sz w:val="16"/>
                <w:szCs w:val="16"/>
                <w:lang w:val="en-US"/>
              </w:rPr>
              <w:t>n/m</w:t>
            </w:r>
          </w:p>
        </w:tc>
        <w:tc>
          <w:tcPr>
            <w:tcW w:w="486" w:type="pct"/>
            <w:tcBorders>
              <w:left w:val="single" w:sz="18" w:space="0" w:color="FFC000"/>
              <w:right w:val="single" w:sz="4" w:space="0" w:color="FFC000"/>
            </w:tcBorders>
            <w:shd w:val="clear" w:color="auto" w:fill="FFFFFF" w:themeFill="background1"/>
            <w:vAlign w:val="center"/>
          </w:tcPr>
          <w:p w14:paraId="07155283" w14:textId="4299A823" w:rsidR="00BA5DF0" w:rsidRPr="00C16398" w:rsidRDefault="00BA5DF0" w:rsidP="00BA5DF0">
            <w:pPr>
              <w:tabs>
                <w:tab w:val="left" w:pos="284"/>
              </w:tabs>
              <w:spacing w:after="0"/>
              <w:jc w:val="right"/>
              <w:rPr>
                <w:rFonts w:eastAsiaTheme="minorEastAsia" w:cs="Calibri"/>
                <w:sz w:val="16"/>
                <w:szCs w:val="16"/>
                <w:lang w:val="en-US"/>
              </w:rPr>
            </w:pPr>
            <w:r w:rsidRPr="00C16398">
              <w:rPr>
                <w:rFonts w:eastAsiaTheme="minorEastAsia" w:cs="Calibri"/>
                <w:sz w:val="16"/>
                <w:szCs w:val="16"/>
                <w:lang w:val="en-US"/>
              </w:rPr>
              <w:t>(</w:t>
            </w:r>
            <w:r>
              <w:rPr>
                <w:rFonts w:eastAsiaTheme="minorEastAsia" w:cs="Calibri"/>
                <w:sz w:val="16"/>
                <w:szCs w:val="16"/>
                <w:lang w:val="en-US"/>
              </w:rPr>
              <w:t>3</w:t>
            </w:r>
            <w:r>
              <w:rPr>
                <w:rFonts w:eastAsiaTheme="minorEastAsia" w:cs="Calibri"/>
                <w:sz w:val="16"/>
                <w:szCs w:val="16"/>
              </w:rPr>
              <w:t>.</w:t>
            </w:r>
            <w:r>
              <w:rPr>
                <w:rFonts w:eastAsiaTheme="minorEastAsia" w:cs="Calibri"/>
                <w:sz w:val="16"/>
                <w:szCs w:val="16"/>
                <w:lang w:val="en-US"/>
              </w:rPr>
              <w:t>036</w:t>
            </w:r>
            <w:r w:rsidRPr="00C16398">
              <w:rPr>
                <w:rFonts w:eastAsiaTheme="minorEastAsia" w:cs="Calibri"/>
                <w:sz w:val="16"/>
                <w:szCs w:val="16"/>
                <w:lang w:val="en-US"/>
              </w:rPr>
              <w:t>)</w:t>
            </w:r>
          </w:p>
        </w:tc>
        <w:tc>
          <w:tcPr>
            <w:tcW w:w="486" w:type="pct"/>
            <w:tcBorders>
              <w:left w:val="single" w:sz="4" w:space="0" w:color="FFC000"/>
              <w:right w:val="single" w:sz="4" w:space="0" w:color="FFC000"/>
            </w:tcBorders>
            <w:shd w:val="clear" w:color="auto" w:fill="FFFFFF" w:themeFill="background1"/>
            <w:vAlign w:val="center"/>
          </w:tcPr>
          <w:p w14:paraId="580B17CC" w14:textId="03EFB154" w:rsidR="00BA5DF0" w:rsidRPr="00C16398" w:rsidRDefault="00BA5DF0" w:rsidP="00BA5DF0">
            <w:pPr>
              <w:tabs>
                <w:tab w:val="left" w:pos="284"/>
              </w:tabs>
              <w:spacing w:after="0"/>
              <w:jc w:val="right"/>
              <w:rPr>
                <w:rFonts w:eastAsiaTheme="minorEastAsia" w:cs="Calibri"/>
                <w:sz w:val="16"/>
                <w:szCs w:val="16"/>
                <w:lang w:val="en-US"/>
              </w:rPr>
            </w:pPr>
            <w:r>
              <w:rPr>
                <w:rFonts w:eastAsiaTheme="minorEastAsia" w:cs="Calibri"/>
                <w:sz w:val="16"/>
                <w:szCs w:val="16"/>
                <w:lang w:val="en-US"/>
              </w:rPr>
              <w:t>(392)</w:t>
            </w:r>
          </w:p>
        </w:tc>
        <w:tc>
          <w:tcPr>
            <w:tcW w:w="484" w:type="pct"/>
            <w:tcBorders>
              <w:left w:val="single" w:sz="4" w:space="0" w:color="FFC000"/>
              <w:right w:val="single" w:sz="4" w:space="0" w:color="FFC000"/>
            </w:tcBorders>
            <w:shd w:val="clear" w:color="auto" w:fill="FFFFFF" w:themeFill="background1"/>
          </w:tcPr>
          <w:p w14:paraId="3C9CCD65" w14:textId="278F8C27" w:rsidR="00BA5DF0" w:rsidRPr="00C16398" w:rsidRDefault="00BA5DF0" w:rsidP="00BA5DF0">
            <w:pPr>
              <w:tabs>
                <w:tab w:val="left" w:pos="284"/>
              </w:tabs>
              <w:spacing w:after="0"/>
              <w:jc w:val="right"/>
              <w:rPr>
                <w:rFonts w:eastAsiaTheme="minorEastAsia" w:cs="Calibri"/>
                <w:sz w:val="16"/>
                <w:szCs w:val="16"/>
                <w:lang w:val="en-US"/>
              </w:rPr>
            </w:pPr>
            <w:r w:rsidRPr="00A65074">
              <w:rPr>
                <w:rFonts w:eastAsiaTheme="minorEastAsia" w:cs="Calibri"/>
                <w:color w:val="000000" w:themeColor="text1"/>
                <w:sz w:val="16"/>
                <w:szCs w:val="16"/>
                <w:lang w:val="en-US"/>
              </w:rPr>
              <w:t>n/m</w:t>
            </w:r>
          </w:p>
        </w:tc>
      </w:tr>
      <w:tr w:rsidR="00BA5DF0" w:rsidRPr="005744FA" w14:paraId="4CF44995" w14:textId="77777777" w:rsidTr="0082001C">
        <w:trPr>
          <w:trHeight w:val="280"/>
        </w:trPr>
        <w:tc>
          <w:tcPr>
            <w:tcW w:w="2083" w:type="pct"/>
            <w:tcBorders>
              <w:left w:val="single" w:sz="4" w:space="0" w:color="FFC000"/>
              <w:right w:val="single" w:sz="4" w:space="0" w:color="FFC000"/>
            </w:tcBorders>
            <w:shd w:val="clear" w:color="auto" w:fill="FFFFFF" w:themeFill="background1"/>
            <w:tcMar>
              <w:right w:w="113" w:type="dxa"/>
            </w:tcMar>
            <w:vAlign w:val="center"/>
          </w:tcPr>
          <w:p w14:paraId="65C2BB43" w14:textId="53298A5C" w:rsidR="00BA5DF0" w:rsidRPr="005744FA" w:rsidRDefault="00BA5DF0" w:rsidP="00BA5DF0">
            <w:pPr>
              <w:tabs>
                <w:tab w:val="left" w:pos="284"/>
              </w:tabs>
              <w:spacing w:after="0"/>
              <w:rPr>
                <w:rFonts w:eastAsiaTheme="minorEastAsia" w:cs="Calibri"/>
                <w:sz w:val="16"/>
                <w:szCs w:val="16"/>
                <w:lang w:val="en-US"/>
              </w:rPr>
            </w:pPr>
            <w:r w:rsidRPr="007316DD">
              <w:rPr>
                <w:rFonts w:ascii="Calibri" w:eastAsiaTheme="minorEastAsia" w:hAnsi="Calibri" w:cs="Calibri"/>
                <w:sz w:val="16"/>
                <w:szCs w:val="16"/>
              </w:rPr>
              <w:t>Έσοδα Συμμετοχών σε Συγγενείς</w:t>
            </w:r>
          </w:p>
        </w:tc>
        <w:tc>
          <w:tcPr>
            <w:tcW w:w="486" w:type="pct"/>
            <w:tcBorders>
              <w:left w:val="single" w:sz="4" w:space="0" w:color="FFC000"/>
              <w:right w:val="single" w:sz="4" w:space="0" w:color="FFC000"/>
            </w:tcBorders>
            <w:shd w:val="clear" w:color="auto" w:fill="FFFFFF" w:themeFill="background1"/>
            <w:vAlign w:val="center"/>
          </w:tcPr>
          <w:p w14:paraId="7A96E7C8" w14:textId="2E4C3C8E" w:rsidR="00BA5DF0" w:rsidRPr="007F25CC" w:rsidRDefault="00BA5DF0" w:rsidP="00BA5DF0">
            <w:pPr>
              <w:tabs>
                <w:tab w:val="left" w:pos="284"/>
              </w:tabs>
              <w:spacing w:after="0"/>
              <w:jc w:val="right"/>
              <w:rPr>
                <w:rFonts w:eastAsiaTheme="minorEastAsia" w:cs="Calibri"/>
                <w:sz w:val="16"/>
                <w:szCs w:val="16"/>
                <w:lang w:val="en-US"/>
              </w:rPr>
            </w:pPr>
            <w:r>
              <w:rPr>
                <w:rFonts w:eastAsiaTheme="minorEastAsia" w:cs="Calibri"/>
                <w:sz w:val="16"/>
                <w:szCs w:val="16"/>
                <w:lang w:val="en-US"/>
              </w:rPr>
              <w:t>(1)</w:t>
            </w:r>
          </w:p>
        </w:tc>
        <w:tc>
          <w:tcPr>
            <w:tcW w:w="486" w:type="pct"/>
            <w:tcBorders>
              <w:left w:val="single" w:sz="4" w:space="0" w:color="FFC000"/>
              <w:right w:val="single" w:sz="4" w:space="0" w:color="FFC000"/>
            </w:tcBorders>
            <w:shd w:val="clear" w:color="auto" w:fill="FFFFFF" w:themeFill="background1"/>
            <w:vAlign w:val="center"/>
          </w:tcPr>
          <w:p w14:paraId="0A46D9D2" w14:textId="69884EB2" w:rsidR="00BA5DF0" w:rsidRPr="007F25CC" w:rsidRDefault="00BA5DF0" w:rsidP="00BA5DF0">
            <w:pPr>
              <w:tabs>
                <w:tab w:val="left" w:pos="284"/>
              </w:tabs>
              <w:spacing w:after="0"/>
              <w:jc w:val="right"/>
              <w:rPr>
                <w:rFonts w:eastAsiaTheme="minorEastAsia" w:cs="Calibri"/>
                <w:sz w:val="16"/>
                <w:szCs w:val="16"/>
                <w:lang w:val="en-US"/>
              </w:rPr>
            </w:pPr>
            <w:r>
              <w:rPr>
                <w:rFonts w:eastAsiaTheme="minorEastAsia" w:cs="Calibri"/>
                <w:sz w:val="16"/>
                <w:szCs w:val="16"/>
              </w:rPr>
              <w:t>(6)</w:t>
            </w:r>
          </w:p>
        </w:tc>
        <w:tc>
          <w:tcPr>
            <w:tcW w:w="488" w:type="pct"/>
            <w:tcBorders>
              <w:left w:val="single" w:sz="2" w:space="0" w:color="FFC000"/>
              <w:right w:val="single" w:sz="4" w:space="0" w:color="FFC000"/>
            </w:tcBorders>
            <w:shd w:val="clear" w:color="auto" w:fill="FFFFFF" w:themeFill="background1"/>
          </w:tcPr>
          <w:p w14:paraId="5B1F11FF" w14:textId="235F00E0" w:rsidR="00BA5DF0" w:rsidRPr="007F25CC" w:rsidRDefault="00BA5DF0" w:rsidP="00BA5DF0">
            <w:pPr>
              <w:tabs>
                <w:tab w:val="left" w:pos="284"/>
              </w:tabs>
              <w:spacing w:after="0"/>
              <w:jc w:val="right"/>
              <w:rPr>
                <w:rFonts w:eastAsiaTheme="minorEastAsia" w:cs="Calibri"/>
                <w:sz w:val="16"/>
                <w:szCs w:val="16"/>
                <w:lang w:val="en-US"/>
              </w:rPr>
            </w:pPr>
            <w:r w:rsidRPr="00A65074">
              <w:rPr>
                <w:rFonts w:eastAsiaTheme="minorEastAsia" w:cs="Calibri"/>
                <w:color w:val="000000" w:themeColor="text1"/>
                <w:sz w:val="16"/>
                <w:szCs w:val="16"/>
                <w:lang w:val="en-US"/>
              </w:rPr>
              <w:t>n/m</w:t>
            </w:r>
          </w:p>
        </w:tc>
        <w:tc>
          <w:tcPr>
            <w:tcW w:w="486" w:type="pct"/>
            <w:tcBorders>
              <w:left w:val="single" w:sz="18" w:space="0" w:color="FFC000"/>
              <w:right w:val="single" w:sz="4" w:space="0" w:color="FFC000"/>
            </w:tcBorders>
            <w:shd w:val="clear" w:color="auto" w:fill="FFFFFF" w:themeFill="background1"/>
            <w:vAlign w:val="center"/>
          </w:tcPr>
          <w:p w14:paraId="52025321" w14:textId="0C60FB82" w:rsidR="00BA5DF0" w:rsidRPr="007F25CC" w:rsidRDefault="00BA5DF0" w:rsidP="00BA5DF0">
            <w:pPr>
              <w:tabs>
                <w:tab w:val="left" w:pos="284"/>
              </w:tabs>
              <w:spacing w:after="0"/>
              <w:jc w:val="right"/>
              <w:rPr>
                <w:rFonts w:eastAsiaTheme="minorEastAsia" w:cs="Calibri"/>
                <w:sz w:val="16"/>
                <w:szCs w:val="16"/>
                <w:lang w:val="en-US"/>
              </w:rPr>
            </w:pPr>
            <w:r>
              <w:rPr>
                <w:rFonts w:eastAsiaTheme="minorEastAsia" w:cs="Calibri"/>
                <w:sz w:val="16"/>
                <w:szCs w:val="16"/>
              </w:rPr>
              <w:t>(7)</w:t>
            </w:r>
          </w:p>
        </w:tc>
        <w:tc>
          <w:tcPr>
            <w:tcW w:w="486" w:type="pct"/>
            <w:tcBorders>
              <w:left w:val="single" w:sz="4" w:space="0" w:color="FFC000"/>
              <w:right w:val="single" w:sz="4" w:space="0" w:color="FFC000"/>
            </w:tcBorders>
            <w:shd w:val="clear" w:color="auto" w:fill="FFFFFF" w:themeFill="background1"/>
            <w:vAlign w:val="center"/>
          </w:tcPr>
          <w:p w14:paraId="3E3BFD9E" w14:textId="5126AAD3" w:rsidR="00BA5DF0" w:rsidRDefault="00BA5DF0" w:rsidP="00BA5DF0">
            <w:pPr>
              <w:tabs>
                <w:tab w:val="left" w:pos="284"/>
              </w:tabs>
              <w:spacing w:after="0"/>
              <w:jc w:val="right"/>
              <w:rPr>
                <w:rFonts w:eastAsiaTheme="minorEastAsia" w:cs="Calibri"/>
                <w:sz w:val="16"/>
                <w:szCs w:val="16"/>
                <w:lang w:val="en-US"/>
              </w:rPr>
            </w:pPr>
            <w:r>
              <w:rPr>
                <w:rFonts w:eastAsiaTheme="minorEastAsia" w:cs="Calibri"/>
                <w:sz w:val="16"/>
                <w:szCs w:val="16"/>
                <w:lang w:val="en-US"/>
              </w:rPr>
              <w:t>(16)</w:t>
            </w:r>
          </w:p>
        </w:tc>
        <w:tc>
          <w:tcPr>
            <w:tcW w:w="484" w:type="pct"/>
            <w:tcBorders>
              <w:left w:val="single" w:sz="4" w:space="0" w:color="FFC000"/>
              <w:right w:val="single" w:sz="4" w:space="0" w:color="FFC000"/>
            </w:tcBorders>
            <w:shd w:val="clear" w:color="auto" w:fill="FFFFFF" w:themeFill="background1"/>
          </w:tcPr>
          <w:p w14:paraId="1E7D6E11" w14:textId="34F018ED" w:rsidR="00BA5DF0" w:rsidRPr="007F25CC" w:rsidRDefault="00BA5DF0" w:rsidP="00BA5DF0">
            <w:pPr>
              <w:tabs>
                <w:tab w:val="left" w:pos="284"/>
              </w:tabs>
              <w:spacing w:after="0"/>
              <w:jc w:val="right"/>
              <w:rPr>
                <w:rFonts w:eastAsiaTheme="minorEastAsia" w:cs="Calibri"/>
                <w:sz w:val="16"/>
                <w:szCs w:val="16"/>
                <w:lang w:val="en-US"/>
              </w:rPr>
            </w:pPr>
            <w:r w:rsidRPr="00A65074">
              <w:rPr>
                <w:rFonts w:eastAsiaTheme="minorEastAsia" w:cs="Calibri"/>
                <w:color w:val="000000" w:themeColor="text1"/>
                <w:sz w:val="16"/>
                <w:szCs w:val="16"/>
                <w:lang w:val="en-US"/>
              </w:rPr>
              <w:t>n/m</w:t>
            </w:r>
          </w:p>
        </w:tc>
      </w:tr>
      <w:tr w:rsidR="006D68C1" w:rsidRPr="005744FA" w14:paraId="1EBCDF6A" w14:textId="77777777" w:rsidTr="0089533A">
        <w:trPr>
          <w:trHeight w:val="122"/>
        </w:trPr>
        <w:tc>
          <w:tcPr>
            <w:tcW w:w="2083" w:type="pct"/>
            <w:tcBorders>
              <w:left w:val="single" w:sz="4" w:space="0" w:color="FFC000"/>
              <w:right w:val="single" w:sz="4" w:space="0" w:color="FFC000"/>
            </w:tcBorders>
            <w:shd w:val="clear" w:color="auto" w:fill="FFFFFF" w:themeFill="background1"/>
            <w:tcMar>
              <w:right w:w="113" w:type="dxa"/>
            </w:tcMar>
            <w:vAlign w:val="center"/>
          </w:tcPr>
          <w:p w14:paraId="52B7B6F0" w14:textId="77777777" w:rsidR="006D68C1" w:rsidRPr="005744FA" w:rsidRDefault="006D68C1" w:rsidP="006D68C1">
            <w:pPr>
              <w:tabs>
                <w:tab w:val="left" w:pos="284"/>
              </w:tabs>
              <w:spacing w:after="0"/>
              <w:rPr>
                <w:rFonts w:eastAsiaTheme="minorEastAsia" w:cs="Calibri"/>
                <w:sz w:val="4"/>
                <w:szCs w:val="4"/>
              </w:rPr>
            </w:pPr>
          </w:p>
        </w:tc>
        <w:tc>
          <w:tcPr>
            <w:tcW w:w="486" w:type="pct"/>
            <w:tcBorders>
              <w:left w:val="single" w:sz="4" w:space="0" w:color="FFC000"/>
              <w:right w:val="single" w:sz="4" w:space="0" w:color="FFC000"/>
            </w:tcBorders>
            <w:shd w:val="clear" w:color="auto" w:fill="FFFFFF" w:themeFill="background1"/>
            <w:vAlign w:val="center"/>
          </w:tcPr>
          <w:p w14:paraId="6CF1FEE9" w14:textId="77777777" w:rsidR="006D68C1" w:rsidRPr="006C7864" w:rsidDel="005B246A" w:rsidRDefault="006D68C1" w:rsidP="006D68C1">
            <w:pPr>
              <w:tabs>
                <w:tab w:val="left" w:pos="284"/>
              </w:tabs>
              <w:spacing w:after="0"/>
              <w:jc w:val="right"/>
              <w:rPr>
                <w:rFonts w:eastAsiaTheme="minorEastAsia" w:cs="Calibri"/>
                <w:color w:val="FF0000"/>
                <w:sz w:val="4"/>
                <w:szCs w:val="4"/>
                <w:highlight w:val="green"/>
              </w:rPr>
            </w:pPr>
          </w:p>
        </w:tc>
        <w:tc>
          <w:tcPr>
            <w:tcW w:w="486" w:type="pct"/>
            <w:tcBorders>
              <w:left w:val="single" w:sz="4" w:space="0" w:color="FFC000"/>
              <w:right w:val="single" w:sz="4" w:space="0" w:color="FFC000"/>
            </w:tcBorders>
            <w:shd w:val="clear" w:color="auto" w:fill="FFFFFF" w:themeFill="background1"/>
            <w:vAlign w:val="center"/>
          </w:tcPr>
          <w:p w14:paraId="1ACD15CD" w14:textId="77777777" w:rsidR="006D68C1" w:rsidRPr="006C7864" w:rsidDel="005B246A" w:rsidRDefault="006D68C1" w:rsidP="006D68C1">
            <w:pPr>
              <w:tabs>
                <w:tab w:val="left" w:pos="284"/>
              </w:tabs>
              <w:spacing w:after="0"/>
              <w:jc w:val="right"/>
              <w:rPr>
                <w:rFonts w:eastAsiaTheme="minorEastAsia" w:cs="Calibri"/>
                <w:color w:val="FF0000"/>
                <w:sz w:val="4"/>
                <w:szCs w:val="4"/>
                <w:highlight w:val="green"/>
              </w:rPr>
            </w:pPr>
          </w:p>
        </w:tc>
        <w:tc>
          <w:tcPr>
            <w:tcW w:w="488" w:type="pct"/>
            <w:tcBorders>
              <w:left w:val="single" w:sz="2" w:space="0" w:color="FFC000"/>
              <w:right w:val="single" w:sz="4" w:space="0" w:color="FFC000"/>
            </w:tcBorders>
            <w:shd w:val="clear" w:color="auto" w:fill="FFFFFF" w:themeFill="background1"/>
            <w:vAlign w:val="center"/>
          </w:tcPr>
          <w:p w14:paraId="48CA1557" w14:textId="77777777" w:rsidR="006D68C1" w:rsidRPr="006C7864" w:rsidDel="005B246A" w:rsidRDefault="006D68C1" w:rsidP="006D68C1">
            <w:pPr>
              <w:tabs>
                <w:tab w:val="left" w:pos="284"/>
              </w:tabs>
              <w:spacing w:after="0"/>
              <w:jc w:val="right"/>
              <w:rPr>
                <w:rFonts w:eastAsiaTheme="minorEastAsia" w:cs="Calibri"/>
                <w:color w:val="FF0000"/>
                <w:sz w:val="4"/>
                <w:szCs w:val="4"/>
                <w:highlight w:val="green"/>
              </w:rPr>
            </w:pPr>
          </w:p>
        </w:tc>
        <w:tc>
          <w:tcPr>
            <w:tcW w:w="486" w:type="pct"/>
            <w:tcBorders>
              <w:left w:val="single" w:sz="18" w:space="0" w:color="FFC000"/>
              <w:right w:val="single" w:sz="4" w:space="0" w:color="FFC000"/>
            </w:tcBorders>
            <w:shd w:val="clear" w:color="auto" w:fill="FFFFFF" w:themeFill="background1"/>
            <w:vAlign w:val="center"/>
          </w:tcPr>
          <w:p w14:paraId="0BA18978" w14:textId="77777777" w:rsidR="006D68C1" w:rsidRPr="006C7864" w:rsidDel="005B246A" w:rsidRDefault="006D68C1" w:rsidP="006D68C1">
            <w:pPr>
              <w:tabs>
                <w:tab w:val="left" w:pos="284"/>
              </w:tabs>
              <w:spacing w:after="0"/>
              <w:jc w:val="right"/>
              <w:rPr>
                <w:rFonts w:eastAsiaTheme="minorEastAsia" w:cs="Calibri"/>
                <w:color w:val="FF0000"/>
                <w:sz w:val="4"/>
                <w:szCs w:val="4"/>
                <w:highlight w:val="green"/>
              </w:rPr>
            </w:pPr>
          </w:p>
        </w:tc>
        <w:tc>
          <w:tcPr>
            <w:tcW w:w="486" w:type="pct"/>
            <w:tcBorders>
              <w:left w:val="single" w:sz="4" w:space="0" w:color="FFC000"/>
              <w:right w:val="single" w:sz="4" w:space="0" w:color="FFC000"/>
            </w:tcBorders>
            <w:shd w:val="clear" w:color="auto" w:fill="FFFFFF" w:themeFill="background1"/>
            <w:vAlign w:val="center"/>
          </w:tcPr>
          <w:p w14:paraId="4F23726C" w14:textId="77777777" w:rsidR="006D68C1" w:rsidRPr="006C7864" w:rsidDel="005B246A" w:rsidRDefault="006D68C1" w:rsidP="006D68C1">
            <w:pPr>
              <w:tabs>
                <w:tab w:val="left" w:pos="284"/>
              </w:tabs>
              <w:spacing w:after="0"/>
              <w:jc w:val="right"/>
              <w:rPr>
                <w:rFonts w:eastAsiaTheme="minorEastAsia" w:cs="Calibri"/>
                <w:color w:val="FF0000"/>
                <w:sz w:val="4"/>
                <w:szCs w:val="4"/>
                <w:highlight w:val="green"/>
              </w:rPr>
            </w:pPr>
          </w:p>
        </w:tc>
        <w:tc>
          <w:tcPr>
            <w:tcW w:w="484" w:type="pct"/>
            <w:tcBorders>
              <w:left w:val="single" w:sz="4" w:space="0" w:color="FFC000"/>
              <w:right w:val="single" w:sz="4" w:space="0" w:color="FFC000"/>
            </w:tcBorders>
            <w:shd w:val="clear" w:color="auto" w:fill="FFFFFF" w:themeFill="background1"/>
            <w:vAlign w:val="center"/>
          </w:tcPr>
          <w:p w14:paraId="1DE96B0F" w14:textId="77777777" w:rsidR="006D68C1" w:rsidRPr="006C7864" w:rsidDel="005B246A" w:rsidRDefault="006D68C1" w:rsidP="006D68C1">
            <w:pPr>
              <w:tabs>
                <w:tab w:val="left" w:pos="284"/>
              </w:tabs>
              <w:spacing w:after="0"/>
              <w:jc w:val="right"/>
              <w:rPr>
                <w:rFonts w:eastAsiaTheme="minorEastAsia" w:cs="Calibri"/>
                <w:color w:val="FF0000"/>
                <w:sz w:val="4"/>
                <w:szCs w:val="4"/>
                <w:highlight w:val="green"/>
              </w:rPr>
            </w:pPr>
          </w:p>
        </w:tc>
      </w:tr>
      <w:tr w:rsidR="006D68C1" w:rsidRPr="005744FA" w14:paraId="63A15615" w14:textId="77777777" w:rsidTr="0089533A">
        <w:trPr>
          <w:trHeight w:val="280"/>
        </w:trPr>
        <w:tc>
          <w:tcPr>
            <w:tcW w:w="2083" w:type="pct"/>
            <w:tcBorders>
              <w:left w:val="single" w:sz="4" w:space="0" w:color="FFC000"/>
              <w:right w:val="single" w:sz="4" w:space="0" w:color="FFC000"/>
            </w:tcBorders>
            <w:shd w:val="clear" w:color="auto" w:fill="FFFFFF" w:themeFill="background1"/>
            <w:tcMar>
              <w:right w:w="113" w:type="dxa"/>
            </w:tcMar>
            <w:vAlign w:val="center"/>
          </w:tcPr>
          <w:p w14:paraId="4ED3AB7E" w14:textId="2663EA28" w:rsidR="006D68C1" w:rsidRPr="005744FA" w:rsidRDefault="006D68C1" w:rsidP="006D68C1">
            <w:pPr>
              <w:tabs>
                <w:tab w:val="left" w:pos="284"/>
              </w:tabs>
              <w:spacing w:after="0"/>
              <w:rPr>
                <w:rFonts w:eastAsiaTheme="minorEastAsia" w:cs="Calibri"/>
                <w:color w:val="003C96" w:themeColor="text2"/>
                <w:sz w:val="16"/>
                <w:szCs w:val="16"/>
                <w:lang w:val="en-US"/>
              </w:rPr>
            </w:pPr>
            <w:r w:rsidRPr="00F72352">
              <w:rPr>
                <w:rFonts w:eastAsiaTheme="minorEastAsia" w:cs="Calibri"/>
                <w:sz w:val="16"/>
                <w:szCs w:val="16"/>
              </w:rPr>
              <w:t>Αποτελέσματα Προ Φόρων</w:t>
            </w:r>
          </w:p>
        </w:tc>
        <w:tc>
          <w:tcPr>
            <w:tcW w:w="486" w:type="pct"/>
            <w:tcBorders>
              <w:left w:val="single" w:sz="4" w:space="0" w:color="FFC000"/>
              <w:right w:val="single" w:sz="4" w:space="0" w:color="FFC000"/>
            </w:tcBorders>
            <w:shd w:val="clear" w:color="auto" w:fill="FFFFFF" w:themeFill="background1"/>
            <w:vAlign w:val="center"/>
          </w:tcPr>
          <w:p w14:paraId="2966CD47" w14:textId="139B38F2" w:rsidR="006D68C1" w:rsidRPr="00820553" w:rsidRDefault="006D68C1" w:rsidP="006D68C1">
            <w:pPr>
              <w:tabs>
                <w:tab w:val="left" w:pos="284"/>
              </w:tabs>
              <w:spacing w:after="0"/>
              <w:jc w:val="right"/>
              <w:rPr>
                <w:rFonts w:eastAsiaTheme="minorEastAsia" w:cs="Calibri"/>
                <w:sz w:val="16"/>
                <w:szCs w:val="16"/>
                <w:lang w:val="en-US"/>
              </w:rPr>
            </w:pPr>
            <w:r>
              <w:rPr>
                <w:rFonts w:eastAsiaTheme="minorEastAsia" w:cs="Calibri"/>
                <w:sz w:val="16"/>
                <w:szCs w:val="16"/>
                <w:lang w:val="en-US"/>
              </w:rPr>
              <w:t>(1</w:t>
            </w:r>
            <w:r>
              <w:rPr>
                <w:rFonts w:eastAsiaTheme="minorEastAsia" w:cs="Calibri"/>
                <w:sz w:val="16"/>
                <w:szCs w:val="16"/>
              </w:rPr>
              <w:t>.</w:t>
            </w:r>
            <w:r>
              <w:rPr>
                <w:rFonts w:eastAsiaTheme="minorEastAsia" w:cs="Calibri"/>
                <w:sz w:val="16"/>
                <w:szCs w:val="16"/>
                <w:lang w:val="en-US"/>
              </w:rPr>
              <w:t>980)</w:t>
            </w:r>
          </w:p>
        </w:tc>
        <w:tc>
          <w:tcPr>
            <w:tcW w:w="486" w:type="pct"/>
            <w:tcBorders>
              <w:left w:val="single" w:sz="4" w:space="0" w:color="FFC000"/>
              <w:right w:val="single" w:sz="4" w:space="0" w:color="FFC000"/>
            </w:tcBorders>
            <w:shd w:val="clear" w:color="auto" w:fill="FFFFFF" w:themeFill="background1"/>
            <w:vAlign w:val="center"/>
          </w:tcPr>
          <w:p w14:paraId="67DDE1BA" w14:textId="0A402357" w:rsidR="006D68C1" w:rsidRPr="00820553" w:rsidRDefault="006D68C1" w:rsidP="006D68C1">
            <w:pPr>
              <w:tabs>
                <w:tab w:val="left" w:pos="284"/>
              </w:tabs>
              <w:spacing w:after="0"/>
              <w:jc w:val="right"/>
              <w:rPr>
                <w:rFonts w:eastAsiaTheme="minorEastAsia" w:cs="Calibri"/>
                <w:sz w:val="16"/>
                <w:szCs w:val="16"/>
                <w:lang w:val="en-US"/>
              </w:rPr>
            </w:pPr>
            <w:r>
              <w:rPr>
                <w:rFonts w:eastAsiaTheme="minorEastAsia" w:cs="Calibri"/>
                <w:sz w:val="16"/>
                <w:szCs w:val="16"/>
                <w:lang w:val="en-US"/>
              </w:rPr>
              <w:t>(358)</w:t>
            </w:r>
          </w:p>
        </w:tc>
        <w:tc>
          <w:tcPr>
            <w:tcW w:w="488" w:type="pct"/>
            <w:tcBorders>
              <w:left w:val="single" w:sz="2" w:space="0" w:color="FFC000"/>
              <w:right w:val="single" w:sz="4" w:space="0" w:color="FFC000"/>
            </w:tcBorders>
            <w:shd w:val="clear" w:color="auto" w:fill="FFFFFF" w:themeFill="background1"/>
            <w:vAlign w:val="center"/>
          </w:tcPr>
          <w:p w14:paraId="46297A9B" w14:textId="4AAA1FDD" w:rsidR="006D68C1" w:rsidRPr="00820553" w:rsidRDefault="00BA5DF0" w:rsidP="006D68C1">
            <w:pPr>
              <w:tabs>
                <w:tab w:val="left" w:pos="284"/>
              </w:tabs>
              <w:spacing w:after="0"/>
              <w:jc w:val="right"/>
              <w:rPr>
                <w:rFonts w:eastAsiaTheme="minorEastAsia" w:cs="Calibri"/>
                <w:sz w:val="16"/>
                <w:szCs w:val="16"/>
                <w:lang w:val="en-US"/>
              </w:rPr>
            </w:pPr>
            <w:r w:rsidRPr="00A65074">
              <w:rPr>
                <w:rFonts w:eastAsiaTheme="minorEastAsia" w:cs="Calibri"/>
                <w:color w:val="000000" w:themeColor="text1"/>
                <w:sz w:val="16"/>
                <w:szCs w:val="16"/>
                <w:lang w:val="en-US"/>
              </w:rPr>
              <w:t>n/m</w:t>
            </w:r>
          </w:p>
        </w:tc>
        <w:tc>
          <w:tcPr>
            <w:tcW w:w="486" w:type="pct"/>
            <w:tcBorders>
              <w:left w:val="single" w:sz="18" w:space="0" w:color="FFC000"/>
              <w:right w:val="single" w:sz="4" w:space="0" w:color="FFC000"/>
            </w:tcBorders>
            <w:shd w:val="clear" w:color="auto" w:fill="FFFFFF" w:themeFill="background1"/>
            <w:vAlign w:val="center"/>
          </w:tcPr>
          <w:p w14:paraId="40516493" w14:textId="166A7EF2" w:rsidR="006D68C1" w:rsidRPr="00820553" w:rsidRDefault="006D68C1" w:rsidP="006D68C1">
            <w:pPr>
              <w:tabs>
                <w:tab w:val="left" w:pos="284"/>
              </w:tabs>
              <w:spacing w:after="0"/>
              <w:jc w:val="right"/>
              <w:rPr>
                <w:rFonts w:eastAsiaTheme="minorEastAsia" w:cs="Calibri"/>
                <w:sz w:val="16"/>
                <w:szCs w:val="16"/>
                <w:lang w:val="en-US"/>
              </w:rPr>
            </w:pPr>
            <w:r>
              <w:rPr>
                <w:rFonts w:eastAsiaTheme="minorEastAsia" w:cs="Calibri"/>
                <w:sz w:val="16"/>
                <w:szCs w:val="16"/>
                <w:lang w:val="en-US"/>
              </w:rPr>
              <w:t>(2</w:t>
            </w:r>
            <w:r>
              <w:rPr>
                <w:rFonts w:eastAsiaTheme="minorEastAsia" w:cs="Calibri"/>
                <w:sz w:val="16"/>
                <w:szCs w:val="16"/>
              </w:rPr>
              <w:t>.</w:t>
            </w:r>
            <w:r>
              <w:rPr>
                <w:rFonts w:eastAsiaTheme="minorEastAsia" w:cs="Calibri"/>
                <w:sz w:val="16"/>
                <w:szCs w:val="16"/>
                <w:lang w:val="en-US"/>
              </w:rPr>
              <w:t>337)</w:t>
            </w:r>
          </w:p>
        </w:tc>
        <w:tc>
          <w:tcPr>
            <w:tcW w:w="486" w:type="pct"/>
            <w:tcBorders>
              <w:left w:val="single" w:sz="4" w:space="0" w:color="FFC000"/>
              <w:right w:val="single" w:sz="4" w:space="0" w:color="FFC000"/>
            </w:tcBorders>
            <w:shd w:val="clear" w:color="auto" w:fill="FFFFFF" w:themeFill="background1"/>
            <w:vAlign w:val="center"/>
          </w:tcPr>
          <w:p w14:paraId="0D8C3432" w14:textId="733C7B83" w:rsidR="006D68C1" w:rsidRPr="00766C8C" w:rsidRDefault="006D68C1" w:rsidP="006D68C1">
            <w:pPr>
              <w:tabs>
                <w:tab w:val="left" w:pos="284"/>
              </w:tabs>
              <w:spacing w:after="0"/>
              <w:jc w:val="right"/>
              <w:rPr>
                <w:rFonts w:eastAsiaTheme="minorEastAsia" w:cs="Calibri"/>
                <w:sz w:val="16"/>
                <w:szCs w:val="16"/>
                <w:lang w:val="en-US"/>
              </w:rPr>
            </w:pPr>
            <w:r>
              <w:rPr>
                <w:rFonts w:eastAsiaTheme="minorEastAsia" w:cs="Calibri"/>
                <w:sz w:val="16"/>
                <w:szCs w:val="16"/>
                <w:lang w:val="en-US"/>
              </w:rPr>
              <w:t>(215)</w:t>
            </w:r>
          </w:p>
        </w:tc>
        <w:tc>
          <w:tcPr>
            <w:tcW w:w="484" w:type="pct"/>
            <w:tcBorders>
              <w:left w:val="single" w:sz="4" w:space="0" w:color="FFC000"/>
              <w:right w:val="single" w:sz="4" w:space="0" w:color="FFC000"/>
            </w:tcBorders>
            <w:shd w:val="clear" w:color="auto" w:fill="FFFFFF" w:themeFill="background1"/>
            <w:vAlign w:val="center"/>
          </w:tcPr>
          <w:p w14:paraId="56BB1F01" w14:textId="2F3923B8" w:rsidR="006D68C1" w:rsidRPr="00820553" w:rsidRDefault="00BA5DF0" w:rsidP="006D68C1">
            <w:pPr>
              <w:tabs>
                <w:tab w:val="left" w:pos="284"/>
              </w:tabs>
              <w:spacing w:after="0"/>
              <w:jc w:val="right"/>
              <w:rPr>
                <w:rFonts w:eastAsiaTheme="minorEastAsia" w:cs="Calibri"/>
                <w:sz w:val="16"/>
                <w:szCs w:val="16"/>
                <w:lang w:val="en-US"/>
              </w:rPr>
            </w:pPr>
            <w:r w:rsidRPr="00A65074">
              <w:rPr>
                <w:rFonts w:eastAsiaTheme="minorEastAsia" w:cs="Calibri"/>
                <w:color w:val="000000" w:themeColor="text1"/>
                <w:sz w:val="16"/>
                <w:szCs w:val="16"/>
                <w:lang w:val="en-US"/>
              </w:rPr>
              <w:t>n/m</w:t>
            </w:r>
          </w:p>
        </w:tc>
      </w:tr>
      <w:tr w:rsidR="00FE2913" w:rsidRPr="005744FA" w14:paraId="4BB01D2E" w14:textId="77777777" w:rsidTr="0089533A">
        <w:trPr>
          <w:trHeight w:val="280"/>
        </w:trPr>
        <w:tc>
          <w:tcPr>
            <w:tcW w:w="2083" w:type="pct"/>
            <w:tcBorders>
              <w:left w:val="single" w:sz="4" w:space="0" w:color="FFC000"/>
              <w:right w:val="single" w:sz="4" w:space="0" w:color="FFC000"/>
            </w:tcBorders>
            <w:shd w:val="clear" w:color="auto" w:fill="auto"/>
            <w:tcMar>
              <w:right w:w="113" w:type="dxa"/>
            </w:tcMar>
            <w:vAlign w:val="center"/>
          </w:tcPr>
          <w:p w14:paraId="3F7052F9" w14:textId="391BD87F" w:rsidR="00FE2913" w:rsidRPr="005744FA" w:rsidRDefault="00FE2913" w:rsidP="00FE2913">
            <w:pPr>
              <w:tabs>
                <w:tab w:val="left" w:pos="284"/>
              </w:tabs>
              <w:spacing w:after="0"/>
              <w:rPr>
                <w:rFonts w:eastAsiaTheme="minorEastAsia" w:cs="Calibri"/>
                <w:sz w:val="16"/>
                <w:szCs w:val="16"/>
                <w:lang w:val="en-US"/>
              </w:rPr>
            </w:pPr>
            <w:r w:rsidRPr="007316DD">
              <w:rPr>
                <w:rFonts w:eastAsiaTheme="minorEastAsia" w:cs="Calibri"/>
                <w:color w:val="003C96" w:themeColor="text2"/>
                <w:sz w:val="16"/>
                <w:szCs w:val="16"/>
                <w:lang w:val="en-US"/>
              </w:rPr>
              <w:t>-</w:t>
            </w:r>
            <w:r w:rsidRPr="007316DD">
              <w:rPr>
                <w:rFonts w:cs="Calibri"/>
                <w:color w:val="003C96" w:themeColor="text2"/>
                <w:sz w:val="16"/>
                <w:szCs w:val="16"/>
              </w:rPr>
              <w:t xml:space="preserve"> εξαιρουμένων εκτάκτων εξόδων </w:t>
            </w:r>
            <w:r w:rsidRPr="007316DD">
              <w:rPr>
                <w:rFonts w:cs="Calibri"/>
                <w:color w:val="003C96" w:themeColor="text2"/>
                <w:sz w:val="16"/>
                <w:szCs w:val="16"/>
                <w:vertAlign w:val="superscript"/>
              </w:rPr>
              <w:t>1</w:t>
            </w:r>
          </w:p>
        </w:tc>
        <w:tc>
          <w:tcPr>
            <w:tcW w:w="486" w:type="pct"/>
            <w:tcBorders>
              <w:left w:val="single" w:sz="4" w:space="0" w:color="FFC000"/>
              <w:right w:val="single" w:sz="4" w:space="0" w:color="FFC000"/>
            </w:tcBorders>
            <w:shd w:val="clear" w:color="auto" w:fill="FFFFFF" w:themeFill="background1"/>
            <w:vAlign w:val="center"/>
          </w:tcPr>
          <w:p w14:paraId="532BF126" w14:textId="13D976BE" w:rsidR="00FE2913" w:rsidRPr="007F0F77"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267</w:t>
            </w:r>
          </w:p>
        </w:tc>
        <w:tc>
          <w:tcPr>
            <w:tcW w:w="486" w:type="pct"/>
            <w:tcBorders>
              <w:left w:val="single" w:sz="4" w:space="0" w:color="FFC000"/>
              <w:right w:val="single" w:sz="4" w:space="0" w:color="FFC000"/>
            </w:tcBorders>
            <w:shd w:val="clear" w:color="auto" w:fill="FFFFFF" w:themeFill="background1"/>
            <w:vAlign w:val="center"/>
          </w:tcPr>
          <w:p w14:paraId="57CF1EB6" w14:textId="406A6E54" w:rsidR="00FE2913" w:rsidRPr="007F0F77"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91</w:t>
            </w:r>
          </w:p>
        </w:tc>
        <w:tc>
          <w:tcPr>
            <w:tcW w:w="488" w:type="pct"/>
            <w:tcBorders>
              <w:left w:val="single" w:sz="2" w:space="0" w:color="FFC000"/>
              <w:right w:val="single" w:sz="4" w:space="0" w:color="FFC000"/>
            </w:tcBorders>
            <w:shd w:val="clear" w:color="auto" w:fill="FFFFFF" w:themeFill="background1"/>
            <w:vAlign w:val="center"/>
          </w:tcPr>
          <w:p w14:paraId="3FDA1923" w14:textId="6FAD6CBE" w:rsidR="00FE2913" w:rsidRPr="007F0F77" w:rsidRDefault="00BA5DF0" w:rsidP="006D68C1">
            <w:pPr>
              <w:tabs>
                <w:tab w:val="left" w:pos="284"/>
              </w:tabs>
              <w:spacing w:after="0"/>
              <w:jc w:val="right"/>
              <w:rPr>
                <w:rFonts w:eastAsiaTheme="minorEastAsia" w:cs="Calibri"/>
                <w:color w:val="003C96" w:themeColor="text2"/>
                <w:sz w:val="16"/>
                <w:szCs w:val="16"/>
                <w:lang w:val="en-US"/>
              </w:rPr>
            </w:pPr>
            <w:r w:rsidRPr="00BA5DF0">
              <w:rPr>
                <w:rFonts w:eastAsiaTheme="minorEastAsia" w:cs="Calibri"/>
                <w:color w:val="003C96" w:themeColor="text2"/>
                <w:sz w:val="16"/>
                <w:szCs w:val="16"/>
              </w:rPr>
              <w:t>n/m</w:t>
            </w:r>
          </w:p>
        </w:tc>
        <w:tc>
          <w:tcPr>
            <w:tcW w:w="486" w:type="pct"/>
            <w:tcBorders>
              <w:left w:val="single" w:sz="18" w:space="0" w:color="FFC000"/>
              <w:right w:val="single" w:sz="4" w:space="0" w:color="FFC000"/>
            </w:tcBorders>
            <w:shd w:val="clear" w:color="auto" w:fill="FFFFFF" w:themeFill="background1"/>
            <w:vAlign w:val="center"/>
          </w:tcPr>
          <w:p w14:paraId="2D033892" w14:textId="56B81C60" w:rsidR="00FE2913" w:rsidRPr="007F0F77"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358</w:t>
            </w:r>
          </w:p>
        </w:tc>
        <w:tc>
          <w:tcPr>
            <w:tcW w:w="486" w:type="pct"/>
            <w:tcBorders>
              <w:left w:val="single" w:sz="4" w:space="0" w:color="FFC000"/>
              <w:right w:val="single" w:sz="4" w:space="0" w:color="FFC000"/>
            </w:tcBorders>
            <w:shd w:val="clear" w:color="auto" w:fill="FFFFFF" w:themeFill="background1"/>
            <w:vAlign w:val="center"/>
          </w:tcPr>
          <w:p w14:paraId="6F9DFF3F" w14:textId="64E47506" w:rsidR="00FE2913" w:rsidRDefault="00FE2913" w:rsidP="00FE2913">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176</w:t>
            </w:r>
          </w:p>
        </w:tc>
        <w:tc>
          <w:tcPr>
            <w:tcW w:w="484" w:type="pct"/>
            <w:tcBorders>
              <w:left w:val="single" w:sz="4" w:space="0" w:color="FFC000"/>
              <w:right w:val="single" w:sz="4" w:space="0" w:color="FFC000"/>
            </w:tcBorders>
            <w:shd w:val="clear" w:color="auto" w:fill="FFFFFF" w:themeFill="background1"/>
            <w:vAlign w:val="center"/>
          </w:tcPr>
          <w:p w14:paraId="1B55F54C" w14:textId="2B88DCE3" w:rsidR="00FE2913" w:rsidRPr="007F0F77" w:rsidRDefault="00BA5DF0" w:rsidP="00FE2913">
            <w:pPr>
              <w:tabs>
                <w:tab w:val="left" w:pos="284"/>
              </w:tabs>
              <w:spacing w:after="0"/>
              <w:jc w:val="right"/>
              <w:rPr>
                <w:rFonts w:eastAsiaTheme="minorEastAsia" w:cs="Calibri"/>
                <w:color w:val="003C96" w:themeColor="text2"/>
                <w:sz w:val="16"/>
                <w:szCs w:val="16"/>
                <w:lang w:val="en-US"/>
              </w:rPr>
            </w:pPr>
            <w:r w:rsidRPr="00BA5DF0">
              <w:rPr>
                <w:rFonts w:eastAsiaTheme="minorEastAsia" w:cs="Calibri"/>
                <w:color w:val="003C96" w:themeColor="text2"/>
                <w:sz w:val="16"/>
                <w:szCs w:val="16"/>
              </w:rPr>
              <w:t>n/m</w:t>
            </w:r>
          </w:p>
        </w:tc>
      </w:tr>
      <w:tr w:rsidR="00314AF7" w:rsidRPr="00727E7D" w14:paraId="1E726463" w14:textId="77777777" w:rsidTr="0089533A">
        <w:trPr>
          <w:trHeight w:val="127"/>
        </w:trPr>
        <w:tc>
          <w:tcPr>
            <w:tcW w:w="2083" w:type="pct"/>
            <w:tcBorders>
              <w:left w:val="single" w:sz="4" w:space="0" w:color="FFC000"/>
              <w:right w:val="single" w:sz="4" w:space="0" w:color="FFC000"/>
            </w:tcBorders>
            <w:shd w:val="clear" w:color="auto" w:fill="FFFFFF" w:themeFill="background1"/>
            <w:tcMar>
              <w:right w:w="113" w:type="dxa"/>
            </w:tcMar>
            <w:vAlign w:val="center"/>
          </w:tcPr>
          <w:p w14:paraId="3E5C4CDF" w14:textId="77777777" w:rsidR="00314AF7" w:rsidRPr="005744FA" w:rsidRDefault="00314AF7" w:rsidP="00314AF7">
            <w:pPr>
              <w:tabs>
                <w:tab w:val="left" w:pos="284"/>
              </w:tabs>
              <w:spacing w:after="0"/>
              <w:rPr>
                <w:rFonts w:eastAsiaTheme="minorEastAsia" w:cs="Calibri"/>
                <w:sz w:val="4"/>
                <w:szCs w:val="4"/>
                <w:lang w:val="en-US"/>
              </w:rPr>
            </w:pPr>
          </w:p>
        </w:tc>
        <w:tc>
          <w:tcPr>
            <w:tcW w:w="486" w:type="pct"/>
            <w:tcBorders>
              <w:left w:val="single" w:sz="4" w:space="0" w:color="FFC000"/>
              <w:right w:val="single" w:sz="4" w:space="0" w:color="FFC000"/>
            </w:tcBorders>
            <w:shd w:val="clear" w:color="auto" w:fill="FFFFFF" w:themeFill="background1"/>
            <w:vAlign w:val="center"/>
          </w:tcPr>
          <w:p w14:paraId="75FDD4B6" w14:textId="77777777" w:rsidR="00314AF7" w:rsidRPr="006C7864" w:rsidRDefault="00314AF7" w:rsidP="00314AF7">
            <w:pPr>
              <w:tabs>
                <w:tab w:val="left" w:pos="284"/>
              </w:tabs>
              <w:spacing w:after="0"/>
              <w:jc w:val="right"/>
              <w:rPr>
                <w:rFonts w:eastAsiaTheme="minorEastAsia" w:cs="Calibri"/>
                <w:color w:val="FF0000"/>
                <w:sz w:val="4"/>
                <w:szCs w:val="4"/>
                <w:lang w:val="en-US"/>
              </w:rPr>
            </w:pPr>
          </w:p>
        </w:tc>
        <w:tc>
          <w:tcPr>
            <w:tcW w:w="486" w:type="pct"/>
            <w:tcBorders>
              <w:left w:val="single" w:sz="4" w:space="0" w:color="FFC000"/>
              <w:right w:val="single" w:sz="4" w:space="0" w:color="FFC000"/>
            </w:tcBorders>
            <w:shd w:val="clear" w:color="auto" w:fill="FFFFFF" w:themeFill="background1"/>
            <w:vAlign w:val="center"/>
          </w:tcPr>
          <w:p w14:paraId="25D631D2" w14:textId="77777777" w:rsidR="00314AF7" w:rsidRPr="006C7864" w:rsidRDefault="00314AF7" w:rsidP="00314AF7">
            <w:pPr>
              <w:tabs>
                <w:tab w:val="left" w:pos="284"/>
              </w:tabs>
              <w:spacing w:after="0"/>
              <w:jc w:val="right"/>
              <w:rPr>
                <w:rFonts w:eastAsiaTheme="minorEastAsia" w:cs="Calibri"/>
                <w:color w:val="FF0000"/>
                <w:sz w:val="4"/>
                <w:szCs w:val="4"/>
                <w:lang w:val="en-US"/>
              </w:rPr>
            </w:pPr>
          </w:p>
        </w:tc>
        <w:tc>
          <w:tcPr>
            <w:tcW w:w="488" w:type="pct"/>
            <w:tcBorders>
              <w:left w:val="single" w:sz="2" w:space="0" w:color="FFC000"/>
              <w:right w:val="single" w:sz="4" w:space="0" w:color="FFC000"/>
            </w:tcBorders>
            <w:shd w:val="clear" w:color="auto" w:fill="FFFFFF" w:themeFill="background1"/>
            <w:vAlign w:val="center"/>
          </w:tcPr>
          <w:p w14:paraId="254207C1" w14:textId="77777777" w:rsidR="00314AF7" w:rsidRPr="006C7864" w:rsidRDefault="00314AF7" w:rsidP="00314AF7">
            <w:pPr>
              <w:tabs>
                <w:tab w:val="left" w:pos="284"/>
              </w:tabs>
              <w:spacing w:after="0"/>
              <w:jc w:val="right"/>
              <w:rPr>
                <w:rFonts w:eastAsiaTheme="minorEastAsia" w:cs="Calibri"/>
                <w:color w:val="FF0000"/>
                <w:sz w:val="4"/>
                <w:szCs w:val="4"/>
                <w:lang w:val="en-US"/>
              </w:rPr>
            </w:pPr>
          </w:p>
        </w:tc>
        <w:tc>
          <w:tcPr>
            <w:tcW w:w="486" w:type="pct"/>
            <w:tcBorders>
              <w:left w:val="single" w:sz="18" w:space="0" w:color="FFC000"/>
              <w:right w:val="single" w:sz="4" w:space="0" w:color="FFC000"/>
            </w:tcBorders>
            <w:shd w:val="clear" w:color="auto" w:fill="FFFFFF" w:themeFill="background1"/>
            <w:vAlign w:val="center"/>
          </w:tcPr>
          <w:p w14:paraId="71302F02" w14:textId="77777777" w:rsidR="00314AF7" w:rsidRPr="006C7864" w:rsidRDefault="00314AF7" w:rsidP="00314AF7">
            <w:pPr>
              <w:tabs>
                <w:tab w:val="left" w:pos="284"/>
              </w:tabs>
              <w:spacing w:after="0"/>
              <w:jc w:val="right"/>
              <w:rPr>
                <w:rFonts w:eastAsiaTheme="minorEastAsia" w:cs="Calibri"/>
                <w:color w:val="FF0000"/>
                <w:sz w:val="4"/>
                <w:szCs w:val="4"/>
                <w:lang w:val="en-US"/>
              </w:rPr>
            </w:pPr>
          </w:p>
        </w:tc>
        <w:tc>
          <w:tcPr>
            <w:tcW w:w="486" w:type="pct"/>
            <w:tcBorders>
              <w:left w:val="single" w:sz="4" w:space="0" w:color="FFC000"/>
              <w:right w:val="single" w:sz="4" w:space="0" w:color="FFC000"/>
            </w:tcBorders>
            <w:shd w:val="clear" w:color="auto" w:fill="FFFFFF" w:themeFill="background1"/>
            <w:vAlign w:val="center"/>
          </w:tcPr>
          <w:p w14:paraId="60884CE5" w14:textId="77777777" w:rsidR="00314AF7" w:rsidRPr="006C7864" w:rsidRDefault="00314AF7" w:rsidP="00314AF7">
            <w:pPr>
              <w:tabs>
                <w:tab w:val="left" w:pos="284"/>
              </w:tabs>
              <w:spacing w:after="0"/>
              <w:jc w:val="right"/>
              <w:rPr>
                <w:rFonts w:eastAsiaTheme="minorEastAsia" w:cs="Calibri"/>
                <w:color w:val="FF0000"/>
                <w:sz w:val="4"/>
                <w:szCs w:val="4"/>
                <w:lang w:val="en-US"/>
              </w:rPr>
            </w:pPr>
          </w:p>
        </w:tc>
        <w:tc>
          <w:tcPr>
            <w:tcW w:w="484" w:type="pct"/>
            <w:tcBorders>
              <w:left w:val="single" w:sz="4" w:space="0" w:color="FFC000"/>
              <w:right w:val="single" w:sz="4" w:space="0" w:color="FFC000"/>
            </w:tcBorders>
            <w:shd w:val="clear" w:color="auto" w:fill="FFFFFF" w:themeFill="background1"/>
            <w:vAlign w:val="center"/>
          </w:tcPr>
          <w:p w14:paraId="67FAE00E" w14:textId="77777777" w:rsidR="00314AF7" w:rsidRPr="006C7864" w:rsidRDefault="00314AF7" w:rsidP="00314AF7">
            <w:pPr>
              <w:tabs>
                <w:tab w:val="left" w:pos="284"/>
              </w:tabs>
              <w:spacing w:after="0"/>
              <w:jc w:val="right"/>
              <w:rPr>
                <w:rFonts w:eastAsiaTheme="minorEastAsia" w:cs="Calibri"/>
                <w:color w:val="FF0000"/>
                <w:sz w:val="4"/>
                <w:szCs w:val="4"/>
                <w:lang w:val="en-US"/>
              </w:rPr>
            </w:pPr>
          </w:p>
        </w:tc>
      </w:tr>
      <w:tr w:rsidR="00FE2913" w:rsidRPr="00727E7D" w14:paraId="3262187E" w14:textId="77777777" w:rsidTr="0089533A">
        <w:trPr>
          <w:trHeight w:val="280"/>
        </w:trPr>
        <w:tc>
          <w:tcPr>
            <w:tcW w:w="2083" w:type="pct"/>
            <w:tcBorders>
              <w:left w:val="single" w:sz="4" w:space="0" w:color="FFC000"/>
              <w:right w:val="single" w:sz="4" w:space="0" w:color="FFC000"/>
            </w:tcBorders>
            <w:shd w:val="clear" w:color="auto" w:fill="FFFFFF" w:themeFill="background1"/>
            <w:tcMar>
              <w:right w:w="113" w:type="dxa"/>
            </w:tcMar>
            <w:vAlign w:val="center"/>
          </w:tcPr>
          <w:p w14:paraId="2581E1A3" w14:textId="3F8FD156" w:rsidR="00FE2913" w:rsidRPr="005744FA" w:rsidRDefault="00FE2913" w:rsidP="00FE2913">
            <w:pPr>
              <w:tabs>
                <w:tab w:val="left" w:pos="284"/>
              </w:tabs>
              <w:spacing w:after="0"/>
              <w:rPr>
                <w:rFonts w:eastAsiaTheme="minorEastAsia" w:cs="Calibri"/>
                <w:sz w:val="16"/>
                <w:szCs w:val="16"/>
                <w:lang w:val="en-US"/>
              </w:rPr>
            </w:pPr>
            <w:r w:rsidRPr="007316DD">
              <w:rPr>
                <w:rFonts w:eastAsiaTheme="minorEastAsia" w:cs="Calibri"/>
                <w:sz w:val="16"/>
                <w:szCs w:val="16"/>
              </w:rPr>
              <w:t>Φόρος Εισοδήματος</w:t>
            </w:r>
          </w:p>
        </w:tc>
        <w:tc>
          <w:tcPr>
            <w:tcW w:w="486" w:type="pct"/>
            <w:tcBorders>
              <w:left w:val="single" w:sz="4" w:space="0" w:color="FFC000"/>
              <w:right w:val="single" w:sz="4" w:space="0" w:color="FFC000"/>
            </w:tcBorders>
            <w:shd w:val="clear" w:color="auto" w:fill="FFFFFF" w:themeFill="background1"/>
            <w:vAlign w:val="center"/>
          </w:tcPr>
          <w:p w14:paraId="02BA027C" w14:textId="0C9E5EEF" w:rsidR="00FE2913" w:rsidRPr="004F4AFD"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(65)</w:t>
            </w:r>
          </w:p>
        </w:tc>
        <w:tc>
          <w:tcPr>
            <w:tcW w:w="486" w:type="pct"/>
            <w:tcBorders>
              <w:left w:val="single" w:sz="4" w:space="0" w:color="FFC000"/>
              <w:right w:val="single" w:sz="4" w:space="0" w:color="FFC000"/>
            </w:tcBorders>
            <w:shd w:val="clear" w:color="auto" w:fill="FFFFFF" w:themeFill="background1"/>
            <w:vAlign w:val="center"/>
          </w:tcPr>
          <w:p w14:paraId="34FE017A" w14:textId="25E5B3F2" w:rsidR="00FE2913" w:rsidRPr="004F4AFD"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(46)</w:t>
            </w:r>
          </w:p>
        </w:tc>
        <w:tc>
          <w:tcPr>
            <w:tcW w:w="488" w:type="pct"/>
            <w:tcBorders>
              <w:left w:val="single" w:sz="2" w:space="0" w:color="FFC000"/>
              <w:right w:val="single" w:sz="4" w:space="0" w:color="FFC000"/>
            </w:tcBorders>
            <w:shd w:val="clear" w:color="auto" w:fill="FFFFFF" w:themeFill="background1"/>
            <w:vAlign w:val="center"/>
          </w:tcPr>
          <w:p w14:paraId="0F8B622B" w14:textId="296B3650" w:rsidR="00FE2913" w:rsidRPr="004F4AFD"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39%</w:t>
            </w:r>
          </w:p>
        </w:tc>
        <w:tc>
          <w:tcPr>
            <w:tcW w:w="486" w:type="pct"/>
            <w:tcBorders>
              <w:left w:val="single" w:sz="18" w:space="0" w:color="FFC000"/>
              <w:right w:val="single" w:sz="4" w:space="0" w:color="FFC000"/>
            </w:tcBorders>
            <w:shd w:val="clear" w:color="auto" w:fill="FFFFFF" w:themeFill="background1"/>
            <w:vAlign w:val="center"/>
          </w:tcPr>
          <w:p w14:paraId="7141C29E" w14:textId="1794A425" w:rsidR="00FE2913" w:rsidRPr="004F4AFD"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(111)</w:t>
            </w:r>
          </w:p>
        </w:tc>
        <w:tc>
          <w:tcPr>
            <w:tcW w:w="486" w:type="pct"/>
            <w:tcBorders>
              <w:left w:val="single" w:sz="4" w:space="0" w:color="FFC000"/>
              <w:right w:val="single" w:sz="4" w:space="0" w:color="FFC000"/>
            </w:tcBorders>
            <w:shd w:val="clear" w:color="auto" w:fill="FFFFFF" w:themeFill="background1"/>
            <w:vAlign w:val="center"/>
          </w:tcPr>
          <w:p w14:paraId="02D40DAE" w14:textId="470BE228" w:rsidR="00FE2913" w:rsidRDefault="00FE2913" w:rsidP="00FE2913">
            <w:pPr>
              <w:tabs>
                <w:tab w:val="left" w:pos="284"/>
              </w:tabs>
              <w:spacing w:after="0"/>
              <w:jc w:val="right"/>
              <w:rPr>
                <w:rFonts w:eastAsiaTheme="minorEastAsia" w:cs="Calibri"/>
                <w:sz w:val="16"/>
                <w:szCs w:val="16"/>
                <w:lang w:val="en-US"/>
              </w:rPr>
            </w:pPr>
            <w:r>
              <w:rPr>
                <w:rFonts w:eastAsiaTheme="minorEastAsia" w:cs="Calibri"/>
                <w:sz w:val="16"/>
                <w:szCs w:val="16"/>
                <w:lang w:val="en-US"/>
              </w:rPr>
              <w:t>70</w:t>
            </w:r>
          </w:p>
        </w:tc>
        <w:tc>
          <w:tcPr>
            <w:tcW w:w="484" w:type="pct"/>
            <w:tcBorders>
              <w:left w:val="single" w:sz="4" w:space="0" w:color="FFC000"/>
              <w:right w:val="single" w:sz="4" w:space="0" w:color="FFC000"/>
            </w:tcBorders>
            <w:shd w:val="clear" w:color="auto" w:fill="FFFFFF" w:themeFill="background1"/>
            <w:vAlign w:val="center"/>
          </w:tcPr>
          <w:p w14:paraId="1C1D7D71" w14:textId="17E16EF8" w:rsidR="00FE2913" w:rsidRPr="004F4AFD" w:rsidRDefault="002258D9" w:rsidP="002258D9">
            <w:pPr>
              <w:tabs>
                <w:tab w:val="left" w:pos="284"/>
              </w:tabs>
              <w:spacing w:after="0"/>
              <w:jc w:val="right"/>
              <w:rPr>
                <w:rFonts w:eastAsiaTheme="minorEastAsia" w:cs="Calibri"/>
                <w:sz w:val="16"/>
                <w:szCs w:val="16"/>
                <w:lang w:val="en-US"/>
              </w:rPr>
            </w:pPr>
            <w:r w:rsidRPr="00A65074">
              <w:rPr>
                <w:rFonts w:eastAsiaTheme="minorEastAsia" w:cs="Calibri"/>
                <w:color w:val="000000" w:themeColor="text1"/>
                <w:sz w:val="16"/>
                <w:szCs w:val="16"/>
                <w:lang w:val="en-US"/>
              </w:rPr>
              <w:t>n/m</w:t>
            </w:r>
          </w:p>
        </w:tc>
      </w:tr>
      <w:tr w:rsidR="00703B9A" w:rsidRPr="00727E7D" w14:paraId="771185BB" w14:textId="77777777" w:rsidTr="0089533A">
        <w:trPr>
          <w:trHeight w:val="147"/>
        </w:trPr>
        <w:tc>
          <w:tcPr>
            <w:tcW w:w="2083" w:type="pct"/>
            <w:tcBorders>
              <w:left w:val="single" w:sz="4" w:space="0" w:color="FFC000"/>
              <w:right w:val="single" w:sz="4" w:space="0" w:color="FFC000"/>
            </w:tcBorders>
            <w:shd w:val="clear" w:color="auto" w:fill="FFFFFF" w:themeFill="background1"/>
            <w:tcMar>
              <w:right w:w="113" w:type="dxa"/>
            </w:tcMar>
            <w:vAlign w:val="center"/>
          </w:tcPr>
          <w:p w14:paraId="78526C57" w14:textId="77777777" w:rsidR="00703B9A" w:rsidRPr="005744FA" w:rsidRDefault="00703B9A" w:rsidP="003D7C18">
            <w:pPr>
              <w:tabs>
                <w:tab w:val="left" w:pos="284"/>
              </w:tabs>
              <w:spacing w:after="0"/>
              <w:rPr>
                <w:rFonts w:eastAsiaTheme="minorEastAsia" w:cs="Calibri"/>
                <w:color w:val="003C96" w:themeColor="text2"/>
                <w:sz w:val="4"/>
                <w:szCs w:val="4"/>
                <w:lang w:val="en-US"/>
              </w:rPr>
            </w:pPr>
          </w:p>
        </w:tc>
        <w:tc>
          <w:tcPr>
            <w:tcW w:w="486" w:type="pct"/>
            <w:tcBorders>
              <w:left w:val="single" w:sz="4" w:space="0" w:color="FFC000"/>
              <w:right w:val="single" w:sz="4" w:space="0" w:color="FFC000"/>
            </w:tcBorders>
            <w:shd w:val="clear" w:color="auto" w:fill="FFFFFF" w:themeFill="background1"/>
            <w:vAlign w:val="center"/>
          </w:tcPr>
          <w:p w14:paraId="0D134C41" w14:textId="77777777" w:rsidR="00703B9A" w:rsidRPr="006C7864" w:rsidRDefault="00703B9A" w:rsidP="003D7C18">
            <w:pPr>
              <w:tabs>
                <w:tab w:val="left" w:pos="284"/>
              </w:tabs>
              <w:spacing w:after="0"/>
              <w:jc w:val="right"/>
              <w:rPr>
                <w:rFonts w:eastAsiaTheme="minorEastAsia" w:cs="Calibri"/>
                <w:color w:val="FF0000"/>
                <w:sz w:val="4"/>
                <w:szCs w:val="4"/>
                <w:highlight w:val="green"/>
                <w:lang w:val="en-US"/>
              </w:rPr>
            </w:pPr>
          </w:p>
        </w:tc>
        <w:tc>
          <w:tcPr>
            <w:tcW w:w="486" w:type="pct"/>
            <w:tcBorders>
              <w:left w:val="single" w:sz="4" w:space="0" w:color="FFC000"/>
              <w:right w:val="single" w:sz="4" w:space="0" w:color="FFC000"/>
            </w:tcBorders>
            <w:shd w:val="clear" w:color="auto" w:fill="FFFFFF" w:themeFill="background1"/>
            <w:vAlign w:val="center"/>
          </w:tcPr>
          <w:p w14:paraId="38611CD3" w14:textId="77777777" w:rsidR="00703B9A" w:rsidRPr="006C7864" w:rsidRDefault="00703B9A" w:rsidP="003D7C18">
            <w:pPr>
              <w:tabs>
                <w:tab w:val="left" w:pos="284"/>
              </w:tabs>
              <w:spacing w:after="0"/>
              <w:jc w:val="right"/>
              <w:rPr>
                <w:rFonts w:eastAsiaTheme="minorEastAsia" w:cs="Calibri"/>
                <w:color w:val="FF0000"/>
                <w:sz w:val="4"/>
                <w:szCs w:val="4"/>
                <w:highlight w:val="green"/>
                <w:lang w:val="en-US"/>
              </w:rPr>
            </w:pPr>
          </w:p>
        </w:tc>
        <w:tc>
          <w:tcPr>
            <w:tcW w:w="488" w:type="pct"/>
            <w:tcBorders>
              <w:left w:val="single" w:sz="2" w:space="0" w:color="FFC000"/>
              <w:right w:val="single" w:sz="4" w:space="0" w:color="FFC000"/>
            </w:tcBorders>
            <w:shd w:val="clear" w:color="auto" w:fill="FFFFFF" w:themeFill="background1"/>
            <w:vAlign w:val="center"/>
          </w:tcPr>
          <w:p w14:paraId="009BA1E0" w14:textId="77777777" w:rsidR="00703B9A" w:rsidRPr="006C7864" w:rsidRDefault="00703B9A" w:rsidP="003D7C18">
            <w:pPr>
              <w:tabs>
                <w:tab w:val="left" w:pos="284"/>
              </w:tabs>
              <w:spacing w:after="0"/>
              <w:jc w:val="right"/>
              <w:rPr>
                <w:rFonts w:eastAsiaTheme="minorEastAsia" w:cs="Calibri"/>
                <w:color w:val="FF0000"/>
                <w:sz w:val="4"/>
                <w:szCs w:val="4"/>
                <w:highlight w:val="green"/>
                <w:lang w:val="en-US"/>
              </w:rPr>
            </w:pPr>
          </w:p>
        </w:tc>
        <w:tc>
          <w:tcPr>
            <w:tcW w:w="486" w:type="pct"/>
            <w:tcBorders>
              <w:left w:val="single" w:sz="18" w:space="0" w:color="FFC000"/>
              <w:right w:val="single" w:sz="4" w:space="0" w:color="FFC000"/>
            </w:tcBorders>
            <w:shd w:val="clear" w:color="auto" w:fill="FFFFFF" w:themeFill="background1"/>
            <w:vAlign w:val="center"/>
          </w:tcPr>
          <w:p w14:paraId="6D9DABF8" w14:textId="77777777" w:rsidR="00703B9A" w:rsidRPr="006C7864" w:rsidRDefault="00703B9A" w:rsidP="003D7C18">
            <w:pPr>
              <w:tabs>
                <w:tab w:val="left" w:pos="284"/>
              </w:tabs>
              <w:spacing w:after="0"/>
              <w:jc w:val="right"/>
              <w:rPr>
                <w:rFonts w:eastAsiaTheme="minorEastAsia" w:cs="Calibri"/>
                <w:color w:val="FF0000"/>
                <w:sz w:val="4"/>
                <w:szCs w:val="4"/>
                <w:highlight w:val="green"/>
                <w:lang w:val="en-US"/>
              </w:rPr>
            </w:pPr>
          </w:p>
        </w:tc>
        <w:tc>
          <w:tcPr>
            <w:tcW w:w="486" w:type="pct"/>
            <w:tcBorders>
              <w:left w:val="single" w:sz="4" w:space="0" w:color="FFC000"/>
              <w:right w:val="single" w:sz="4" w:space="0" w:color="FFC000"/>
            </w:tcBorders>
            <w:shd w:val="clear" w:color="auto" w:fill="FFFFFF" w:themeFill="background1"/>
            <w:vAlign w:val="center"/>
          </w:tcPr>
          <w:p w14:paraId="54DB3FA1" w14:textId="77777777" w:rsidR="00703B9A" w:rsidRPr="006C7864" w:rsidRDefault="00703B9A" w:rsidP="003D7C18">
            <w:pPr>
              <w:tabs>
                <w:tab w:val="left" w:pos="284"/>
              </w:tabs>
              <w:spacing w:after="0"/>
              <w:jc w:val="right"/>
              <w:rPr>
                <w:rFonts w:eastAsiaTheme="minorEastAsia" w:cs="Calibri"/>
                <w:color w:val="FF0000"/>
                <w:sz w:val="4"/>
                <w:szCs w:val="4"/>
                <w:highlight w:val="green"/>
                <w:lang w:val="en-US"/>
              </w:rPr>
            </w:pPr>
          </w:p>
        </w:tc>
        <w:tc>
          <w:tcPr>
            <w:tcW w:w="484" w:type="pct"/>
            <w:tcBorders>
              <w:left w:val="single" w:sz="4" w:space="0" w:color="FFC000"/>
              <w:right w:val="single" w:sz="4" w:space="0" w:color="FFC000"/>
            </w:tcBorders>
            <w:shd w:val="clear" w:color="auto" w:fill="FFFFFF" w:themeFill="background1"/>
            <w:vAlign w:val="center"/>
          </w:tcPr>
          <w:p w14:paraId="7A24F680" w14:textId="77777777" w:rsidR="00703B9A" w:rsidRPr="006C7864" w:rsidRDefault="00703B9A" w:rsidP="003D7C18">
            <w:pPr>
              <w:tabs>
                <w:tab w:val="left" w:pos="284"/>
              </w:tabs>
              <w:spacing w:after="0"/>
              <w:jc w:val="right"/>
              <w:rPr>
                <w:rFonts w:eastAsiaTheme="minorEastAsia" w:cs="Calibri"/>
                <w:color w:val="FF0000"/>
                <w:sz w:val="4"/>
                <w:szCs w:val="4"/>
                <w:highlight w:val="green"/>
                <w:lang w:val="en-US"/>
              </w:rPr>
            </w:pPr>
          </w:p>
        </w:tc>
      </w:tr>
      <w:tr w:rsidR="00BA5DF0" w:rsidRPr="00037376" w14:paraId="5BD3A3D1" w14:textId="77777777" w:rsidTr="0082001C">
        <w:trPr>
          <w:trHeight w:val="280"/>
        </w:trPr>
        <w:tc>
          <w:tcPr>
            <w:tcW w:w="2083" w:type="pct"/>
            <w:tcBorders>
              <w:left w:val="single" w:sz="4" w:space="0" w:color="FFC000"/>
              <w:right w:val="single" w:sz="4" w:space="0" w:color="FFC000"/>
            </w:tcBorders>
            <w:shd w:val="clear" w:color="auto" w:fill="FFFFFF" w:themeFill="background1"/>
            <w:tcMar>
              <w:right w:w="113" w:type="dxa"/>
            </w:tcMar>
            <w:vAlign w:val="center"/>
          </w:tcPr>
          <w:p w14:paraId="7644533D" w14:textId="16F85257" w:rsidR="00BA5DF0" w:rsidRPr="00040D4E" w:rsidRDefault="00BA5DF0" w:rsidP="00BA5DF0">
            <w:pPr>
              <w:tabs>
                <w:tab w:val="left" w:pos="284"/>
              </w:tabs>
              <w:spacing w:after="0"/>
              <w:rPr>
                <w:rFonts w:eastAsiaTheme="minorEastAsia" w:cs="Calibri"/>
                <w:sz w:val="16"/>
                <w:szCs w:val="16"/>
                <w:lang w:val="en-US"/>
              </w:rPr>
            </w:pPr>
            <w:r w:rsidRPr="00465217">
              <w:rPr>
                <w:rFonts w:eastAsiaTheme="minorEastAsia" w:cs="Calibri"/>
                <w:sz w:val="16"/>
                <w:szCs w:val="16"/>
              </w:rPr>
              <w:t>Καθαρά Αποτελέσματα</w:t>
            </w:r>
          </w:p>
        </w:tc>
        <w:tc>
          <w:tcPr>
            <w:tcW w:w="486" w:type="pct"/>
            <w:tcBorders>
              <w:left w:val="single" w:sz="4" w:space="0" w:color="FFC000"/>
              <w:right w:val="single" w:sz="4" w:space="0" w:color="FFC000"/>
            </w:tcBorders>
            <w:shd w:val="clear" w:color="auto" w:fill="FFFFFF" w:themeFill="background1"/>
            <w:vAlign w:val="center"/>
          </w:tcPr>
          <w:p w14:paraId="363A3230" w14:textId="4845D142" w:rsidR="00BA5DF0" w:rsidRPr="00040D4E" w:rsidRDefault="00BA5DF0" w:rsidP="00BA5DF0">
            <w:pPr>
              <w:tabs>
                <w:tab w:val="left" w:pos="284"/>
              </w:tabs>
              <w:spacing w:after="0"/>
              <w:jc w:val="right"/>
              <w:rPr>
                <w:rFonts w:eastAsiaTheme="minorEastAsia" w:cs="Calibri"/>
                <w:sz w:val="16"/>
                <w:szCs w:val="16"/>
                <w:lang w:val="en-GB"/>
              </w:rPr>
            </w:pPr>
            <w:r>
              <w:rPr>
                <w:rFonts w:eastAsiaTheme="minorEastAsia" w:cs="Calibri"/>
                <w:sz w:val="16"/>
                <w:szCs w:val="16"/>
                <w:lang w:val="en-GB"/>
              </w:rPr>
              <w:t>(2</w:t>
            </w:r>
            <w:r>
              <w:rPr>
                <w:rFonts w:eastAsiaTheme="minorEastAsia" w:cs="Calibri"/>
                <w:sz w:val="16"/>
                <w:szCs w:val="16"/>
              </w:rPr>
              <w:t>.</w:t>
            </w:r>
            <w:r>
              <w:rPr>
                <w:rFonts w:eastAsiaTheme="minorEastAsia" w:cs="Calibri"/>
                <w:sz w:val="16"/>
                <w:szCs w:val="16"/>
                <w:lang w:val="en-GB"/>
              </w:rPr>
              <w:t>044</w:t>
            </w:r>
            <w:r w:rsidRPr="00040D4E">
              <w:rPr>
                <w:rFonts w:eastAsiaTheme="minorEastAsia" w:cs="Calibri"/>
                <w:sz w:val="16"/>
                <w:szCs w:val="16"/>
                <w:lang w:val="en-GB"/>
              </w:rPr>
              <w:t>)</w:t>
            </w:r>
          </w:p>
        </w:tc>
        <w:tc>
          <w:tcPr>
            <w:tcW w:w="486" w:type="pct"/>
            <w:tcBorders>
              <w:left w:val="single" w:sz="4" w:space="0" w:color="FFC000"/>
              <w:right w:val="single" w:sz="4" w:space="0" w:color="FFC000"/>
            </w:tcBorders>
            <w:shd w:val="clear" w:color="auto" w:fill="FFFFFF" w:themeFill="background1"/>
            <w:vAlign w:val="center"/>
          </w:tcPr>
          <w:p w14:paraId="71A42BFC" w14:textId="27FAAC98" w:rsidR="00BA5DF0" w:rsidRPr="00040D4E" w:rsidRDefault="00BA5DF0" w:rsidP="00BA5DF0">
            <w:pPr>
              <w:tabs>
                <w:tab w:val="left" w:pos="284"/>
              </w:tabs>
              <w:spacing w:after="0"/>
              <w:jc w:val="right"/>
              <w:rPr>
                <w:rFonts w:eastAsiaTheme="minorEastAsia" w:cs="Calibri"/>
                <w:sz w:val="16"/>
                <w:szCs w:val="16"/>
                <w:lang w:val="en-GB"/>
              </w:rPr>
            </w:pPr>
            <w:r>
              <w:rPr>
                <w:rFonts w:eastAsiaTheme="minorEastAsia" w:cs="Calibri"/>
                <w:sz w:val="16"/>
                <w:szCs w:val="16"/>
              </w:rPr>
              <w:t>(</w:t>
            </w:r>
            <w:r>
              <w:rPr>
                <w:rFonts w:eastAsiaTheme="minorEastAsia" w:cs="Calibri"/>
                <w:sz w:val="16"/>
                <w:szCs w:val="16"/>
                <w:lang w:val="en-US"/>
              </w:rPr>
              <w:t>407</w:t>
            </w:r>
            <w:r>
              <w:rPr>
                <w:rFonts w:eastAsiaTheme="minorEastAsia" w:cs="Calibri"/>
                <w:sz w:val="16"/>
                <w:szCs w:val="16"/>
              </w:rPr>
              <w:t>)</w:t>
            </w:r>
          </w:p>
        </w:tc>
        <w:tc>
          <w:tcPr>
            <w:tcW w:w="488" w:type="pct"/>
            <w:tcBorders>
              <w:left w:val="single" w:sz="2" w:space="0" w:color="FFC000"/>
              <w:right w:val="single" w:sz="4" w:space="0" w:color="FFC000"/>
            </w:tcBorders>
            <w:shd w:val="clear" w:color="auto" w:fill="FFFFFF" w:themeFill="background1"/>
          </w:tcPr>
          <w:p w14:paraId="42384680" w14:textId="0538D2E5" w:rsidR="00BA5DF0" w:rsidRPr="00040D4E" w:rsidRDefault="00BA5DF0" w:rsidP="00BA5DF0">
            <w:pPr>
              <w:tabs>
                <w:tab w:val="left" w:pos="284"/>
              </w:tabs>
              <w:spacing w:after="0"/>
              <w:jc w:val="right"/>
              <w:rPr>
                <w:rFonts w:eastAsiaTheme="minorEastAsia" w:cs="Calibri"/>
                <w:sz w:val="16"/>
                <w:szCs w:val="16"/>
                <w:lang w:val="en-GB"/>
              </w:rPr>
            </w:pPr>
            <w:r w:rsidRPr="003379D2">
              <w:rPr>
                <w:rFonts w:eastAsiaTheme="minorEastAsia" w:cs="Calibri"/>
                <w:color w:val="000000" w:themeColor="text1"/>
                <w:sz w:val="16"/>
                <w:szCs w:val="16"/>
                <w:lang w:val="en-US"/>
              </w:rPr>
              <w:t>n/m</w:t>
            </w:r>
          </w:p>
        </w:tc>
        <w:tc>
          <w:tcPr>
            <w:tcW w:w="486" w:type="pct"/>
            <w:tcBorders>
              <w:left w:val="single" w:sz="18" w:space="0" w:color="FFC000"/>
              <w:right w:val="single" w:sz="4" w:space="0" w:color="FFC000"/>
            </w:tcBorders>
            <w:shd w:val="clear" w:color="auto" w:fill="FFFFFF" w:themeFill="background1"/>
            <w:vAlign w:val="center"/>
          </w:tcPr>
          <w:p w14:paraId="03F58255" w14:textId="1AE1D55D" w:rsidR="00BA5DF0" w:rsidRPr="00040D4E" w:rsidRDefault="00BA5DF0" w:rsidP="00BA5DF0">
            <w:pPr>
              <w:tabs>
                <w:tab w:val="left" w:pos="284"/>
              </w:tabs>
              <w:spacing w:after="0"/>
              <w:jc w:val="right"/>
              <w:rPr>
                <w:rFonts w:eastAsiaTheme="minorEastAsia" w:cs="Calibri"/>
                <w:sz w:val="16"/>
                <w:szCs w:val="16"/>
                <w:lang w:val="en-GB"/>
              </w:rPr>
            </w:pPr>
            <w:r w:rsidRPr="00040D4E">
              <w:rPr>
                <w:rFonts w:eastAsiaTheme="minorEastAsia" w:cs="Calibri"/>
                <w:sz w:val="16"/>
                <w:szCs w:val="16"/>
                <w:lang w:val="en-GB"/>
              </w:rPr>
              <w:t>(</w:t>
            </w:r>
            <w:r>
              <w:rPr>
                <w:rFonts w:eastAsiaTheme="minorEastAsia" w:cs="Calibri"/>
                <w:sz w:val="16"/>
                <w:szCs w:val="16"/>
              </w:rPr>
              <w:t>2.</w:t>
            </w:r>
            <w:r>
              <w:rPr>
                <w:rFonts w:eastAsiaTheme="minorEastAsia" w:cs="Calibri"/>
                <w:sz w:val="16"/>
                <w:szCs w:val="16"/>
                <w:lang w:val="en-US"/>
              </w:rPr>
              <w:t>450</w:t>
            </w:r>
            <w:r w:rsidRPr="00040D4E">
              <w:rPr>
                <w:rFonts w:eastAsiaTheme="minorEastAsia" w:cs="Calibri"/>
                <w:sz w:val="16"/>
                <w:szCs w:val="16"/>
                <w:lang w:val="en-GB"/>
              </w:rPr>
              <w:t>)</w:t>
            </w:r>
          </w:p>
        </w:tc>
        <w:tc>
          <w:tcPr>
            <w:tcW w:w="486" w:type="pct"/>
            <w:tcBorders>
              <w:left w:val="single" w:sz="4" w:space="0" w:color="FFC000"/>
              <w:right w:val="single" w:sz="4" w:space="0" w:color="FFC000"/>
            </w:tcBorders>
            <w:shd w:val="clear" w:color="auto" w:fill="FFFFFF" w:themeFill="background1"/>
            <w:vAlign w:val="center"/>
          </w:tcPr>
          <w:p w14:paraId="7C95A495" w14:textId="6BBC7D6C" w:rsidR="00BA5DF0" w:rsidRPr="003607A4" w:rsidRDefault="00BA5DF0" w:rsidP="00BA5DF0">
            <w:pPr>
              <w:tabs>
                <w:tab w:val="left" w:pos="284"/>
              </w:tabs>
              <w:spacing w:after="0"/>
              <w:jc w:val="right"/>
              <w:rPr>
                <w:rFonts w:eastAsiaTheme="minorEastAsia" w:cs="Calibri"/>
                <w:sz w:val="16"/>
                <w:szCs w:val="16"/>
                <w:lang w:val="en-US"/>
              </w:rPr>
            </w:pPr>
            <w:r>
              <w:rPr>
                <w:rFonts w:eastAsiaTheme="minorEastAsia" w:cs="Calibri"/>
                <w:sz w:val="16"/>
                <w:szCs w:val="16"/>
                <w:lang w:val="en-US"/>
              </w:rPr>
              <w:t>(150)</w:t>
            </w:r>
          </w:p>
        </w:tc>
        <w:tc>
          <w:tcPr>
            <w:tcW w:w="484" w:type="pct"/>
            <w:tcBorders>
              <w:left w:val="single" w:sz="4" w:space="0" w:color="FFC000"/>
              <w:right w:val="single" w:sz="4" w:space="0" w:color="FFC000"/>
            </w:tcBorders>
            <w:shd w:val="clear" w:color="auto" w:fill="FFFFFF" w:themeFill="background1"/>
          </w:tcPr>
          <w:p w14:paraId="13D7E0B1" w14:textId="4AF3094E" w:rsidR="00BA5DF0" w:rsidRPr="00040D4E" w:rsidRDefault="00BA5DF0" w:rsidP="00BA5DF0">
            <w:pPr>
              <w:tabs>
                <w:tab w:val="left" w:pos="284"/>
              </w:tabs>
              <w:spacing w:after="0"/>
              <w:jc w:val="right"/>
              <w:rPr>
                <w:rFonts w:eastAsiaTheme="minorEastAsia" w:cs="Calibri"/>
                <w:sz w:val="16"/>
                <w:szCs w:val="16"/>
                <w:lang w:val="en-GB"/>
              </w:rPr>
            </w:pPr>
            <w:r w:rsidRPr="000F6367">
              <w:rPr>
                <w:rFonts w:eastAsiaTheme="minorEastAsia" w:cs="Calibri"/>
                <w:color w:val="000000" w:themeColor="text1"/>
                <w:sz w:val="16"/>
                <w:szCs w:val="16"/>
                <w:lang w:val="en-US"/>
              </w:rPr>
              <w:t>n/m</w:t>
            </w:r>
          </w:p>
        </w:tc>
      </w:tr>
      <w:tr w:rsidR="00BA5DF0" w:rsidRPr="00037376" w14:paraId="717C2E01" w14:textId="77777777" w:rsidTr="0082001C">
        <w:trPr>
          <w:trHeight w:val="280"/>
        </w:trPr>
        <w:tc>
          <w:tcPr>
            <w:tcW w:w="2083" w:type="pct"/>
            <w:tcBorders>
              <w:left w:val="single" w:sz="4" w:space="0" w:color="FFC000"/>
              <w:right w:val="single" w:sz="4" w:space="0" w:color="FFC000"/>
            </w:tcBorders>
            <w:shd w:val="clear" w:color="auto" w:fill="FFFFFF" w:themeFill="background1"/>
            <w:tcMar>
              <w:right w:w="113" w:type="dxa"/>
            </w:tcMar>
            <w:vAlign w:val="center"/>
          </w:tcPr>
          <w:p w14:paraId="614067A2" w14:textId="03F9BEDF" w:rsidR="00BA5DF0" w:rsidRPr="00314AF7" w:rsidRDefault="00BA5DF0" w:rsidP="00BA5DF0">
            <w:pPr>
              <w:tabs>
                <w:tab w:val="left" w:pos="284"/>
              </w:tabs>
              <w:spacing w:after="0"/>
              <w:rPr>
                <w:rFonts w:eastAsiaTheme="minorEastAsia" w:cs="Calibri"/>
                <w:sz w:val="16"/>
                <w:szCs w:val="16"/>
              </w:rPr>
            </w:pPr>
            <w:r w:rsidRPr="00465217">
              <w:rPr>
                <w:rFonts w:eastAsiaTheme="minorEastAsia" w:cs="Calibri"/>
                <w:sz w:val="16"/>
                <w:szCs w:val="16"/>
              </w:rPr>
              <w:t>Αποτελέσματα Μετόχων από Συνεχ. Δραστ/τες</w:t>
            </w:r>
          </w:p>
        </w:tc>
        <w:tc>
          <w:tcPr>
            <w:tcW w:w="486" w:type="pct"/>
            <w:tcBorders>
              <w:left w:val="single" w:sz="4" w:space="0" w:color="FFC000"/>
              <w:right w:val="single" w:sz="4" w:space="0" w:color="FFC000"/>
            </w:tcBorders>
            <w:shd w:val="clear" w:color="auto" w:fill="FFFFFF" w:themeFill="background1"/>
            <w:vAlign w:val="center"/>
          </w:tcPr>
          <w:p w14:paraId="7ED4A277" w14:textId="54605D04" w:rsidR="00BA5DF0" w:rsidRPr="00040D4E" w:rsidRDefault="00BA5DF0" w:rsidP="00BA5DF0">
            <w:pPr>
              <w:tabs>
                <w:tab w:val="left" w:pos="284"/>
              </w:tabs>
              <w:spacing w:after="0"/>
              <w:jc w:val="right"/>
              <w:rPr>
                <w:rFonts w:eastAsiaTheme="minorEastAsia" w:cs="Calibri"/>
                <w:sz w:val="16"/>
                <w:szCs w:val="16"/>
                <w:lang w:val="en-GB"/>
              </w:rPr>
            </w:pPr>
            <w:r>
              <w:rPr>
                <w:rFonts w:eastAsiaTheme="minorEastAsia" w:cs="Calibri"/>
                <w:sz w:val="16"/>
                <w:szCs w:val="16"/>
                <w:lang w:val="en-GB"/>
              </w:rPr>
              <w:t>(2</w:t>
            </w:r>
            <w:r>
              <w:rPr>
                <w:rFonts w:eastAsiaTheme="minorEastAsia" w:cs="Calibri"/>
                <w:sz w:val="16"/>
                <w:szCs w:val="16"/>
              </w:rPr>
              <w:t>.</w:t>
            </w:r>
            <w:r>
              <w:rPr>
                <w:rFonts w:eastAsiaTheme="minorEastAsia" w:cs="Calibri"/>
                <w:sz w:val="16"/>
                <w:szCs w:val="16"/>
                <w:lang w:val="en-GB"/>
              </w:rPr>
              <w:t>045</w:t>
            </w:r>
            <w:r w:rsidRPr="00040D4E">
              <w:rPr>
                <w:rFonts w:eastAsiaTheme="minorEastAsia" w:cs="Calibri"/>
                <w:sz w:val="16"/>
                <w:szCs w:val="16"/>
                <w:lang w:val="en-GB"/>
              </w:rPr>
              <w:t>)</w:t>
            </w:r>
          </w:p>
        </w:tc>
        <w:tc>
          <w:tcPr>
            <w:tcW w:w="486" w:type="pct"/>
            <w:tcBorders>
              <w:left w:val="single" w:sz="4" w:space="0" w:color="FFC000"/>
              <w:right w:val="single" w:sz="4" w:space="0" w:color="FFC000"/>
            </w:tcBorders>
            <w:shd w:val="clear" w:color="auto" w:fill="FFFFFF" w:themeFill="background1"/>
            <w:vAlign w:val="center"/>
          </w:tcPr>
          <w:p w14:paraId="3E69AFA8" w14:textId="13A7E3DF" w:rsidR="00BA5DF0" w:rsidRPr="00040D4E" w:rsidRDefault="00BA5DF0" w:rsidP="00BA5DF0">
            <w:pPr>
              <w:tabs>
                <w:tab w:val="left" w:pos="284"/>
              </w:tabs>
              <w:spacing w:after="0"/>
              <w:jc w:val="right"/>
              <w:rPr>
                <w:rFonts w:eastAsiaTheme="minorEastAsia" w:cs="Calibri"/>
                <w:sz w:val="16"/>
                <w:szCs w:val="16"/>
                <w:lang w:val="en-GB"/>
              </w:rPr>
            </w:pPr>
            <w:r>
              <w:rPr>
                <w:rFonts w:eastAsiaTheme="minorEastAsia" w:cs="Calibri"/>
                <w:sz w:val="16"/>
                <w:szCs w:val="16"/>
              </w:rPr>
              <w:t>(</w:t>
            </w:r>
            <w:r>
              <w:rPr>
                <w:rFonts w:eastAsiaTheme="minorEastAsia" w:cs="Calibri"/>
                <w:sz w:val="16"/>
                <w:szCs w:val="16"/>
                <w:lang w:val="en-US"/>
              </w:rPr>
              <w:t>404</w:t>
            </w:r>
            <w:r>
              <w:rPr>
                <w:rFonts w:eastAsiaTheme="minorEastAsia" w:cs="Calibri"/>
                <w:sz w:val="16"/>
                <w:szCs w:val="16"/>
              </w:rPr>
              <w:t>)</w:t>
            </w:r>
          </w:p>
        </w:tc>
        <w:tc>
          <w:tcPr>
            <w:tcW w:w="488" w:type="pct"/>
            <w:tcBorders>
              <w:left w:val="single" w:sz="2" w:space="0" w:color="FFC000"/>
              <w:right w:val="single" w:sz="4" w:space="0" w:color="FFC000"/>
            </w:tcBorders>
            <w:shd w:val="clear" w:color="auto" w:fill="FFFFFF" w:themeFill="background1"/>
          </w:tcPr>
          <w:p w14:paraId="7784A6C1" w14:textId="2DA28884" w:rsidR="00BA5DF0" w:rsidRPr="00040D4E" w:rsidRDefault="00BA5DF0" w:rsidP="00BA5DF0">
            <w:pPr>
              <w:tabs>
                <w:tab w:val="left" w:pos="284"/>
              </w:tabs>
              <w:spacing w:after="0"/>
              <w:jc w:val="right"/>
              <w:rPr>
                <w:rFonts w:eastAsiaTheme="minorEastAsia" w:cs="Calibri"/>
                <w:sz w:val="16"/>
                <w:szCs w:val="16"/>
                <w:lang w:val="en-GB"/>
              </w:rPr>
            </w:pPr>
            <w:r w:rsidRPr="003379D2">
              <w:rPr>
                <w:rFonts w:eastAsiaTheme="minorEastAsia" w:cs="Calibri"/>
                <w:color w:val="000000" w:themeColor="text1"/>
                <w:sz w:val="16"/>
                <w:szCs w:val="16"/>
                <w:lang w:val="en-US"/>
              </w:rPr>
              <w:t>n/m</w:t>
            </w:r>
          </w:p>
        </w:tc>
        <w:tc>
          <w:tcPr>
            <w:tcW w:w="486" w:type="pct"/>
            <w:tcBorders>
              <w:left w:val="single" w:sz="18" w:space="0" w:color="FFC000"/>
              <w:right w:val="single" w:sz="4" w:space="0" w:color="FFC000"/>
            </w:tcBorders>
            <w:shd w:val="clear" w:color="auto" w:fill="FFFFFF" w:themeFill="background1"/>
            <w:vAlign w:val="center"/>
          </w:tcPr>
          <w:p w14:paraId="36FE3B71" w14:textId="29356B4F" w:rsidR="00BA5DF0" w:rsidRPr="00040D4E" w:rsidRDefault="00BA5DF0" w:rsidP="00BA5DF0">
            <w:pPr>
              <w:tabs>
                <w:tab w:val="left" w:pos="284"/>
              </w:tabs>
              <w:spacing w:after="0"/>
              <w:jc w:val="right"/>
              <w:rPr>
                <w:rFonts w:eastAsiaTheme="minorEastAsia" w:cs="Calibri"/>
                <w:sz w:val="16"/>
                <w:szCs w:val="16"/>
                <w:lang w:val="en-GB"/>
              </w:rPr>
            </w:pPr>
            <w:r>
              <w:rPr>
                <w:rFonts w:eastAsiaTheme="minorEastAsia" w:cs="Calibri"/>
                <w:sz w:val="16"/>
                <w:szCs w:val="16"/>
                <w:lang w:val="en-GB"/>
              </w:rPr>
              <w:t>(2</w:t>
            </w:r>
            <w:r>
              <w:rPr>
                <w:rFonts w:eastAsiaTheme="minorEastAsia" w:cs="Calibri"/>
                <w:sz w:val="16"/>
                <w:szCs w:val="16"/>
              </w:rPr>
              <w:t>.</w:t>
            </w:r>
            <w:r>
              <w:rPr>
                <w:rFonts w:eastAsiaTheme="minorEastAsia" w:cs="Calibri"/>
                <w:sz w:val="16"/>
                <w:szCs w:val="16"/>
                <w:lang w:val="en-GB"/>
              </w:rPr>
              <w:t>449</w:t>
            </w:r>
            <w:r w:rsidRPr="00040D4E">
              <w:rPr>
                <w:rFonts w:eastAsiaTheme="minorEastAsia" w:cs="Calibri"/>
                <w:sz w:val="16"/>
                <w:szCs w:val="16"/>
                <w:lang w:val="en-GB"/>
              </w:rPr>
              <w:t>)</w:t>
            </w:r>
          </w:p>
        </w:tc>
        <w:tc>
          <w:tcPr>
            <w:tcW w:w="486" w:type="pct"/>
            <w:tcBorders>
              <w:left w:val="single" w:sz="4" w:space="0" w:color="FFC000"/>
              <w:right w:val="single" w:sz="4" w:space="0" w:color="FFC000"/>
            </w:tcBorders>
            <w:shd w:val="clear" w:color="auto" w:fill="FFFFFF" w:themeFill="background1"/>
            <w:vAlign w:val="center"/>
          </w:tcPr>
          <w:p w14:paraId="523B254F" w14:textId="41063434" w:rsidR="00BA5DF0" w:rsidRPr="00CA683D" w:rsidRDefault="00BA5DF0" w:rsidP="00BA5DF0">
            <w:pPr>
              <w:tabs>
                <w:tab w:val="left" w:pos="284"/>
              </w:tabs>
              <w:spacing w:after="0"/>
              <w:jc w:val="right"/>
              <w:rPr>
                <w:rFonts w:eastAsiaTheme="minorEastAsia" w:cs="Calibri"/>
                <w:sz w:val="16"/>
                <w:szCs w:val="16"/>
                <w:lang w:val="en-US"/>
              </w:rPr>
            </w:pPr>
            <w:r>
              <w:rPr>
                <w:rFonts w:eastAsiaTheme="minorEastAsia" w:cs="Calibri"/>
                <w:sz w:val="16"/>
                <w:szCs w:val="16"/>
                <w:lang w:val="en-US"/>
              </w:rPr>
              <w:t>(144)</w:t>
            </w:r>
          </w:p>
        </w:tc>
        <w:tc>
          <w:tcPr>
            <w:tcW w:w="484" w:type="pct"/>
            <w:tcBorders>
              <w:left w:val="single" w:sz="4" w:space="0" w:color="FFC000"/>
              <w:right w:val="single" w:sz="4" w:space="0" w:color="FFC000"/>
            </w:tcBorders>
            <w:shd w:val="clear" w:color="auto" w:fill="FFFFFF" w:themeFill="background1"/>
          </w:tcPr>
          <w:p w14:paraId="42131793" w14:textId="13B49140" w:rsidR="00BA5DF0" w:rsidRPr="00040D4E" w:rsidRDefault="00BA5DF0" w:rsidP="00BA5DF0">
            <w:pPr>
              <w:tabs>
                <w:tab w:val="left" w:pos="284"/>
              </w:tabs>
              <w:spacing w:after="0"/>
              <w:jc w:val="right"/>
              <w:rPr>
                <w:rFonts w:eastAsiaTheme="minorEastAsia" w:cs="Calibri"/>
                <w:sz w:val="16"/>
                <w:szCs w:val="16"/>
                <w:lang w:val="en-GB"/>
              </w:rPr>
            </w:pPr>
            <w:r w:rsidRPr="000F6367">
              <w:rPr>
                <w:rFonts w:eastAsiaTheme="minorEastAsia" w:cs="Calibri"/>
                <w:color w:val="000000" w:themeColor="text1"/>
                <w:sz w:val="16"/>
                <w:szCs w:val="16"/>
                <w:lang w:val="en-US"/>
              </w:rPr>
              <w:t>n/m</w:t>
            </w:r>
          </w:p>
        </w:tc>
      </w:tr>
      <w:tr w:rsidR="00703B9A" w:rsidRPr="00037376" w14:paraId="0BDE1892" w14:textId="77777777" w:rsidTr="0089533A">
        <w:trPr>
          <w:trHeight w:val="280"/>
        </w:trPr>
        <w:tc>
          <w:tcPr>
            <w:tcW w:w="2083" w:type="pct"/>
            <w:tcBorders>
              <w:left w:val="single" w:sz="4" w:space="0" w:color="FFC000"/>
              <w:right w:val="single" w:sz="4" w:space="0" w:color="FFC000"/>
            </w:tcBorders>
            <w:shd w:val="clear" w:color="auto" w:fill="FFFFFF" w:themeFill="background1"/>
            <w:tcMar>
              <w:right w:w="113" w:type="dxa"/>
            </w:tcMar>
            <w:vAlign w:val="center"/>
          </w:tcPr>
          <w:p w14:paraId="43FDC0C4" w14:textId="77777777" w:rsidR="00703B9A" w:rsidRPr="005744FA" w:rsidRDefault="00703B9A" w:rsidP="003D7C18">
            <w:pPr>
              <w:tabs>
                <w:tab w:val="left" w:pos="284"/>
              </w:tabs>
              <w:spacing w:after="0"/>
              <w:rPr>
                <w:rFonts w:ascii="Calibri" w:eastAsiaTheme="minorEastAsia" w:hAnsi="Calibri" w:cs="Calibri"/>
                <w:sz w:val="16"/>
                <w:szCs w:val="16"/>
                <w:lang w:val="en-US"/>
              </w:rPr>
            </w:pPr>
          </w:p>
        </w:tc>
        <w:tc>
          <w:tcPr>
            <w:tcW w:w="486" w:type="pct"/>
            <w:tcBorders>
              <w:left w:val="single" w:sz="4" w:space="0" w:color="FFC000"/>
              <w:right w:val="single" w:sz="4" w:space="0" w:color="FFC000"/>
            </w:tcBorders>
            <w:shd w:val="clear" w:color="auto" w:fill="FFFFFF" w:themeFill="background1"/>
            <w:vAlign w:val="center"/>
          </w:tcPr>
          <w:p w14:paraId="78D90853" w14:textId="77777777" w:rsidR="00703B9A" w:rsidRPr="006C7864" w:rsidRDefault="00703B9A" w:rsidP="003D7C18">
            <w:pPr>
              <w:tabs>
                <w:tab w:val="left" w:pos="284"/>
              </w:tabs>
              <w:spacing w:after="0"/>
              <w:jc w:val="right"/>
              <w:rPr>
                <w:rFonts w:eastAsiaTheme="minorEastAsia" w:cs="Calibri"/>
                <w:color w:val="FF0000"/>
                <w:sz w:val="16"/>
                <w:szCs w:val="16"/>
                <w:lang w:val="en-US"/>
              </w:rPr>
            </w:pPr>
          </w:p>
        </w:tc>
        <w:tc>
          <w:tcPr>
            <w:tcW w:w="486" w:type="pct"/>
            <w:tcBorders>
              <w:left w:val="single" w:sz="4" w:space="0" w:color="FFC000"/>
              <w:right w:val="single" w:sz="4" w:space="0" w:color="FFC000"/>
            </w:tcBorders>
            <w:shd w:val="clear" w:color="auto" w:fill="FFFFFF" w:themeFill="background1"/>
            <w:vAlign w:val="center"/>
          </w:tcPr>
          <w:p w14:paraId="39215249" w14:textId="77777777" w:rsidR="00703B9A" w:rsidRPr="006C7864" w:rsidRDefault="00703B9A" w:rsidP="003D7C18">
            <w:pPr>
              <w:tabs>
                <w:tab w:val="left" w:pos="284"/>
              </w:tabs>
              <w:spacing w:after="0"/>
              <w:jc w:val="right"/>
              <w:rPr>
                <w:rFonts w:eastAsiaTheme="minorEastAsia" w:cs="Calibri"/>
                <w:color w:val="FF0000"/>
                <w:sz w:val="16"/>
                <w:szCs w:val="16"/>
                <w:lang w:val="en-US"/>
              </w:rPr>
            </w:pPr>
          </w:p>
        </w:tc>
        <w:tc>
          <w:tcPr>
            <w:tcW w:w="488" w:type="pct"/>
            <w:tcBorders>
              <w:left w:val="single" w:sz="2" w:space="0" w:color="FFC000"/>
              <w:right w:val="single" w:sz="4" w:space="0" w:color="FFC000"/>
            </w:tcBorders>
            <w:shd w:val="clear" w:color="auto" w:fill="FFFFFF" w:themeFill="background1"/>
            <w:vAlign w:val="center"/>
          </w:tcPr>
          <w:p w14:paraId="4E5E975B" w14:textId="77777777" w:rsidR="00703B9A" w:rsidRPr="006C7864" w:rsidRDefault="00703B9A" w:rsidP="003D7C18">
            <w:pPr>
              <w:tabs>
                <w:tab w:val="left" w:pos="284"/>
              </w:tabs>
              <w:spacing w:after="0"/>
              <w:jc w:val="right"/>
              <w:rPr>
                <w:rFonts w:eastAsiaTheme="minorEastAsia" w:cs="Calibri"/>
                <w:color w:val="FF0000"/>
                <w:sz w:val="16"/>
                <w:szCs w:val="16"/>
                <w:lang w:val="en-US"/>
              </w:rPr>
            </w:pPr>
          </w:p>
        </w:tc>
        <w:tc>
          <w:tcPr>
            <w:tcW w:w="486" w:type="pct"/>
            <w:tcBorders>
              <w:left w:val="single" w:sz="18" w:space="0" w:color="FFC000"/>
              <w:right w:val="single" w:sz="4" w:space="0" w:color="FFC000"/>
            </w:tcBorders>
            <w:shd w:val="clear" w:color="auto" w:fill="FFFFFF" w:themeFill="background1"/>
            <w:vAlign w:val="center"/>
          </w:tcPr>
          <w:p w14:paraId="1DE159EC" w14:textId="77777777" w:rsidR="00703B9A" w:rsidRPr="006C7864" w:rsidRDefault="00703B9A" w:rsidP="003D7C18">
            <w:pPr>
              <w:tabs>
                <w:tab w:val="left" w:pos="284"/>
              </w:tabs>
              <w:spacing w:after="0"/>
              <w:jc w:val="right"/>
              <w:rPr>
                <w:rFonts w:eastAsiaTheme="minorEastAsia" w:cs="Calibri"/>
                <w:color w:val="FF0000"/>
                <w:sz w:val="16"/>
                <w:szCs w:val="16"/>
                <w:lang w:val="en-US"/>
              </w:rPr>
            </w:pPr>
          </w:p>
        </w:tc>
        <w:tc>
          <w:tcPr>
            <w:tcW w:w="486" w:type="pct"/>
            <w:tcBorders>
              <w:left w:val="single" w:sz="4" w:space="0" w:color="FFC000"/>
              <w:right w:val="single" w:sz="4" w:space="0" w:color="FFC000"/>
            </w:tcBorders>
            <w:shd w:val="clear" w:color="auto" w:fill="FFFFFF" w:themeFill="background1"/>
            <w:vAlign w:val="center"/>
          </w:tcPr>
          <w:p w14:paraId="694380BC" w14:textId="77777777" w:rsidR="00703B9A" w:rsidRPr="006C7864" w:rsidRDefault="00703B9A" w:rsidP="003D7C18">
            <w:pPr>
              <w:tabs>
                <w:tab w:val="left" w:pos="284"/>
              </w:tabs>
              <w:spacing w:after="0"/>
              <w:jc w:val="right"/>
              <w:rPr>
                <w:rFonts w:eastAsiaTheme="minorEastAsia" w:cs="Calibri"/>
                <w:color w:val="FF0000"/>
                <w:sz w:val="16"/>
                <w:szCs w:val="16"/>
                <w:lang w:val="en-US"/>
              </w:rPr>
            </w:pPr>
          </w:p>
        </w:tc>
        <w:tc>
          <w:tcPr>
            <w:tcW w:w="484" w:type="pct"/>
            <w:tcBorders>
              <w:left w:val="single" w:sz="4" w:space="0" w:color="FFC000"/>
              <w:right w:val="single" w:sz="4" w:space="0" w:color="FFC000"/>
            </w:tcBorders>
            <w:shd w:val="clear" w:color="auto" w:fill="FFFFFF" w:themeFill="background1"/>
            <w:vAlign w:val="center"/>
          </w:tcPr>
          <w:p w14:paraId="5DAE8982" w14:textId="77777777" w:rsidR="00703B9A" w:rsidRPr="006C7864" w:rsidRDefault="00703B9A" w:rsidP="003D7C18">
            <w:pPr>
              <w:tabs>
                <w:tab w:val="left" w:pos="284"/>
              </w:tabs>
              <w:spacing w:after="0"/>
              <w:jc w:val="right"/>
              <w:rPr>
                <w:rFonts w:eastAsiaTheme="minorEastAsia" w:cs="Calibri"/>
                <w:color w:val="FF0000"/>
                <w:sz w:val="16"/>
                <w:szCs w:val="16"/>
                <w:lang w:val="en-US"/>
              </w:rPr>
            </w:pPr>
          </w:p>
        </w:tc>
      </w:tr>
      <w:tr w:rsidR="00BA5DF0" w:rsidRPr="004825F8" w14:paraId="025E8D2A" w14:textId="77777777" w:rsidTr="0082001C">
        <w:trPr>
          <w:trHeight w:val="280"/>
        </w:trPr>
        <w:tc>
          <w:tcPr>
            <w:tcW w:w="2083" w:type="pct"/>
            <w:tcBorders>
              <w:left w:val="single" w:sz="4" w:space="0" w:color="FFC000"/>
              <w:right w:val="single" w:sz="4" w:space="0" w:color="FFC000"/>
            </w:tcBorders>
            <w:shd w:val="clear" w:color="auto" w:fill="FFFFFF" w:themeFill="background1"/>
            <w:tcMar>
              <w:right w:w="113" w:type="dxa"/>
            </w:tcMar>
          </w:tcPr>
          <w:p w14:paraId="6261526F" w14:textId="66C166B5" w:rsidR="00BA5DF0" w:rsidRPr="00314AF7" w:rsidRDefault="00BA5DF0" w:rsidP="00BA5DF0">
            <w:pPr>
              <w:tabs>
                <w:tab w:val="left" w:pos="284"/>
              </w:tabs>
              <w:spacing w:after="0"/>
              <w:rPr>
                <w:rFonts w:ascii="Calibri" w:eastAsiaTheme="minorEastAsia" w:hAnsi="Calibri" w:cs="Calibri"/>
                <w:sz w:val="16"/>
                <w:szCs w:val="16"/>
              </w:rPr>
            </w:pPr>
            <w:r w:rsidRPr="003844B2">
              <w:rPr>
                <w:rFonts w:ascii="Calibri" w:eastAsiaTheme="minorEastAsia" w:hAnsi="Calibri" w:cs="Calibri"/>
                <w:sz w:val="16"/>
                <w:szCs w:val="16"/>
              </w:rPr>
              <w:t>Δικαιώματα Μειοψηφίας από Συνεχ. Δραστ/τες</w:t>
            </w:r>
          </w:p>
        </w:tc>
        <w:tc>
          <w:tcPr>
            <w:tcW w:w="486" w:type="pct"/>
            <w:tcBorders>
              <w:left w:val="single" w:sz="4" w:space="0" w:color="FFC000"/>
              <w:right w:val="single" w:sz="4" w:space="0" w:color="FFC000"/>
            </w:tcBorders>
            <w:shd w:val="clear" w:color="auto" w:fill="FFFFFF" w:themeFill="background1"/>
            <w:vAlign w:val="center"/>
          </w:tcPr>
          <w:p w14:paraId="4AA44B68" w14:textId="3E6723D2" w:rsidR="00BA5DF0" w:rsidRPr="00B710C6" w:rsidRDefault="00BA5DF0" w:rsidP="00BA5DF0">
            <w:pPr>
              <w:tabs>
                <w:tab w:val="left" w:pos="284"/>
              </w:tabs>
              <w:spacing w:after="0"/>
              <w:jc w:val="right"/>
              <w:rPr>
                <w:rFonts w:eastAsiaTheme="minorEastAsia" w:cs="Calibri"/>
                <w:sz w:val="16"/>
                <w:szCs w:val="16"/>
                <w:lang w:val="en-US"/>
              </w:rPr>
            </w:pPr>
            <w:r>
              <w:rPr>
                <w:rFonts w:eastAsiaTheme="minorEastAsia" w:cs="Calibri"/>
                <w:sz w:val="16"/>
                <w:szCs w:val="16"/>
                <w:lang w:val="en-US"/>
              </w:rPr>
              <w:t>1</w:t>
            </w:r>
          </w:p>
        </w:tc>
        <w:tc>
          <w:tcPr>
            <w:tcW w:w="486" w:type="pct"/>
            <w:tcBorders>
              <w:left w:val="single" w:sz="4" w:space="0" w:color="FFC000"/>
              <w:right w:val="single" w:sz="4" w:space="0" w:color="FFC000"/>
            </w:tcBorders>
            <w:shd w:val="clear" w:color="auto" w:fill="FFFFFF" w:themeFill="background1"/>
            <w:vAlign w:val="center"/>
          </w:tcPr>
          <w:p w14:paraId="1BEDC1E1" w14:textId="4E1AD4D1" w:rsidR="00BA5DF0" w:rsidRPr="00B710C6" w:rsidRDefault="00BA5DF0" w:rsidP="00BA5DF0">
            <w:pPr>
              <w:tabs>
                <w:tab w:val="left" w:pos="284"/>
              </w:tabs>
              <w:spacing w:after="0"/>
              <w:jc w:val="right"/>
              <w:rPr>
                <w:rFonts w:eastAsiaTheme="minorEastAsia" w:cs="Calibri"/>
                <w:sz w:val="16"/>
                <w:szCs w:val="16"/>
                <w:lang w:val="en-US"/>
              </w:rPr>
            </w:pPr>
            <w:r>
              <w:rPr>
                <w:rFonts w:eastAsiaTheme="minorEastAsia" w:cs="Calibri"/>
                <w:sz w:val="16"/>
                <w:szCs w:val="16"/>
                <w:lang w:val="en-US"/>
              </w:rPr>
              <w:t>(</w:t>
            </w:r>
            <w:r>
              <w:rPr>
                <w:rFonts w:eastAsiaTheme="minorEastAsia" w:cs="Calibri"/>
                <w:sz w:val="16"/>
                <w:szCs w:val="16"/>
              </w:rPr>
              <w:t>0</w:t>
            </w:r>
            <w:r>
              <w:rPr>
                <w:rFonts w:eastAsiaTheme="minorEastAsia" w:cs="Calibri"/>
                <w:sz w:val="16"/>
                <w:szCs w:val="16"/>
                <w:lang w:val="en-US"/>
              </w:rPr>
              <w:t>)</w:t>
            </w:r>
          </w:p>
        </w:tc>
        <w:tc>
          <w:tcPr>
            <w:tcW w:w="488" w:type="pct"/>
            <w:tcBorders>
              <w:left w:val="single" w:sz="2" w:space="0" w:color="FFC000"/>
              <w:right w:val="single" w:sz="4" w:space="0" w:color="FFC000"/>
            </w:tcBorders>
            <w:shd w:val="clear" w:color="auto" w:fill="FFFFFF" w:themeFill="background1"/>
          </w:tcPr>
          <w:p w14:paraId="0B339A33" w14:textId="0503B82F" w:rsidR="00BA5DF0" w:rsidRPr="00B710C6" w:rsidRDefault="00BA5DF0" w:rsidP="00BA5DF0">
            <w:pPr>
              <w:tabs>
                <w:tab w:val="left" w:pos="284"/>
              </w:tabs>
              <w:spacing w:after="0"/>
              <w:jc w:val="right"/>
              <w:rPr>
                <w:rFonts w:eastAsiaTheme="minorEastAsia" w:cs="Calibri"/>
                <w:sz w:val="16"/>
                <w:szCs w:val="16"/>
                <w:lang w:val="en-US"/>
              </w:rPr>
            </w:pPr>
            <w:r w:rsidRPr="00025A06">
              <w:rPr>
                <w:rFonts w:eastAsiaTheme="minorEastAsia" w:cs="Calibri"/>
                <w:color w:val="000000" w:themeColor="text1"/>
                <w:sz w:val="16"/>
                <w:szCs w:val="16"/>
                <w:lang w:val="en-US"/>
              </w:rPr>
              <w:t>n/m</w:t>
            </w:r>
          </w:p>
        </w:tc>
        <w:tc>
          <w:tcPr>
            <w:tcW w:w="486" w:type="pct"/>
            <w:tcBorders>
              <w:left w:val="single" w:sz="18" w:space="0" w:color="FFC000"/>
              <w:right w:val="single" w:sz="4" w:space="0" w:color="FFC000"/>
            </w:tcBorders>
            <w:shd w:val="clear" w:color="auto" w:fill="FFFFFF" w:themeFill="background1"/>
            <w:vAlign w:val="center"/>
          </w:tcPr>
          <w:p w14:paraId="55AF589D" w14:textId="431DD317" w:rsidR="00BA5DF0" w:rsidRPr="00B710C6" w:rsidRDefault="00BA5DF0" w:rsidP="00BA5DF0">
            <w:pPr>
              <w:tabs>
                <w:tab w:val="left" w:pos="284"/>
              </w:tabs>
              <w:spacing w:after="0"/>
              <w:jc w:val="right"/>
              <w:rPr>
                <w:rFonts w:eastAsiaTheme="minorEastAsia" w:cs="Calibri"/>
                <w:sz w:val="16"/>
                <w:szCs w:val="16"/>
                <w:lang w:val="en-US"/>
              </w:rPr>
            </w:pPr>
            <w:r>
              <w:rPr>
                <w:rFonts w:eastAsiaTheme="minorEastAsia" w:cs="Calibri"/>
                <w:sz w:val="16"/>
                <w:szCs w:val="16"/>
                <w:lang w:val="en-US"/>
              </w:rPr>
              <w:t>1</w:t>
            </w:r>
          </w:p>
        </w:tc>
        <w:tc>
          <w:tcPr>
            <w:tcW w:w="486" w:type="pct"/>
            <w:tcBorders>
              <w:left w:val="single" w:sz="4" w:space="0" w:color="FFC000"/>
              <w:right w:val="single" w:sz="4" w:space="0" w:color="FFC000"/>
            </w:tcBorders>
            <w:shd w:val="clear" w:color="auto" w:fill="FFFFFF" w:themeFill="background1"/>
            <w:vAlign w:val="center"/>
          </w:tcPr>
          <w:p w14:paraId="42E760D1" w14:textId="6A3801E1" w:rsidR="00BA5DF0" w:rsidRDefault="00BA5DF0" w:rsidP="00BA5DF0">
            <w:pPr>
              <w:tabs>
                <w:tab w:val="left" w:pos="284"/>
              </w:tabs>
              <w:spacing w:after="0"/>
              <w:jc w:val="right"/>
              <w:rPr>
                <w:rFonts w:eastAsiaTheme="minorEastAsia" w:cs="Calibri"/>
                <w:sz w:val="16"/>
                <w:szCs w:val="16"/>
                <w:lang w:val="en-US"/>
              </w:rPr>
            </w:pPr>
            <w:r>
              <w:rPr>
                <w:rFonts w:eastAsiaTheme="minorEastAsia" w:cs="Calibri"/>
                <w:sz w:val="16"/>
                <w:szCs w:val="16"/>
                <w:lang w:val="en-US"/>
              </w:rPr>
              <w:t>(1)</w:t>
            </w:r>
          </w:p>
        </w:tc>
        <w:tc>
          <w:tcPr>
            <w:tcW w:w="484" w:type="pct"/>
            <w:tcBorders>
              <w:left w:val="single" w:sz="4" w:space="0" w:color="FFC000"/>
              <w:right w:val="single" w:sz="4" w:space="0" w:color="FFC000"/>
            </w:tcBorders>
            <w:shd w:val="clear" w:color="auto" w:fill="FFFFFF" w:themeFill="background1"/>
          </w:tcPr>
          <w:p w14:paraId="417A0D57" w14:textId="322F652D" w:rsidR="00BA5DF0" w:rsidRPr="00B710C6" w:rsidRDefault="00BA5DF0" w:rsidP="00BA5DF0">
            <w:pPr>
              <w:tabs>
                <w:tab w:val="left" w:pos="284"/>
              </w:tabs>
              <w:spacing w:after="0"/>
              <w:jc w:val="right"/>
              <w:rPr>
                <w:rFonts w:eastAsiaTheme="minorEastAsia" w:cs="Calibri"/>
                <w:sz w:val="16"/>
                <w:szCs w:val="16"/>
                <w:lang w:val="en-US"/>
              </w:rPr>
            </w:pPr>
            <w:r w:rsidRPr="00F12FBD">
              <w:rPr>
                <w:rFonts w:eastAsiaTheme="minorEastAsia" w:cs="Calibri"/>
                <w:color w:val="000000" w:themeColor="text1"/>
                <w:sz w:val="16"/>
                <w:szCs w:val="16"/>
                <w:lang w:val="en-US"/>
              </w:rPr>
              <w:t>n/m</w:t>
            </w:r>
          </w:p>
        </w:tc>
      </w:tr>
      <w:tr w:rsidR="00BA5DF0" w:rsidRPr="005744FA" w14:paraId="7D0F79D7" w14:textId="77777777" w:rsidTr="0082001C">
        <w:trPr>
          <w:trHeight w:val="280"/>
        </w:trPr>
        <w:tc>
          <w:tcPr>
            <w:tcW w:w="2083" w:type="pct"/>
            <w:tcBorders>
              <w:left w:val="single" w:sz="4" w:space="0" w:color="FFC000"/>
              <w:bottom w:val="single" w:sz="18" w:space="0" w:color="3A73AE" w:themeColor="accent1"/>
              <w:right w:val="single" w:sz="4" w:space="0" w:color="FFC000"/>
            </w:tcBorders>
            <w:shd w:val="clear" w:color="auto" w:fill="FFFFFF" w:themeFill="background1"/>
            <w:tcMar>
              <w:right w:w="113" w:type="dxa"/>
            </w:tcMar>
          </w:tcPr>
          <w:p w14:paraId="005A2D79" w14:textId="2D55CC82" w:rsidR="00BA5DF0" w:rsidRPr="005744FA" w:rsidRDefault="00BA5DF0" w:rsidP="00BA5DF0">
            <w:pPr>
              <w:tabs>
                <w:tab w:val="left" w:pos="284"/>
              </w:tabs>
              <w:spacing w:after="0"/>
              <w:rPr>
                <w:rFonts w:eastAsiaTheme="minorEastAsia" w:cs="Calibri"/>
                <w:sz w:val="16"/>
                <w:szCs w:val="16"/>
                <w:lang w:val="en-US"/>
              </w:rPr>
            </w:pPr>
            <w:r w:rsidRPr="003844B2">
              <w:rPr>
                <w:rFonts w:ascii="Calibri" w:eastAsiaTheme="minorEastAsia" w:hAnsi="Calibri" w:cs="Calibri"/>
                <w:sz w:val="16"/>
                <w:szCs w:val="16"/>
                <w:lang w:val="en-US"/>
              </w:rPr>
              <w:t>Αποτελέσματα Διακοπτόμενων Δραστηριοτήτων</w:t>
            </w:r>
          </w:p>
        </w:tc>
        <w:tc>
          <w:tcPr>
            <w:tcW w:w="486" w:type="pct"/>
            <w:tcBorders>
              <w:left w:val="single" w:sz="4" w:space="0" w:color="FFC000"/>
              <w:bottom w:val="single" w:sz="18" w:space="0" w:color="3A73AE" w:themeColor="accent1"/>
              <w:right w:val="single" w:sz="4" w:space="0" w:color="FFC000"/>
            </w:tcBorders>
            <w:shd w:val="clear" w:color="auto" w:fill="FFFFFF" w:themeFill="background1"/>
            <w:vAlign w:val="center"/>
          </w:tcPr>
          <w:p w14:paraId="1E8F2AB1" w14:textId="1D3FF3D9" w:rsidR="00BA5DF0" w:rsidRPr="004F4AFD" w:rsidRDefault="00BA5DF0" w:rsidP="00BA5DF0">
            <w:pPr>
              <w:tabs>
                <w:tab w:val="left" w:pos="284"/>
              </w:tabs>
              <w:spacing w:after="0"/>
              <w:jc w:val="right"/>
              <w:rPr>
                <w:rFonts w:eastAsiaTheme="minorEastAsia" w:cs="Calibri"/>
                <w:sz w:val="16"/>
                <w:szCs w:val="16"/>
                <w:lang w:val="en-US"/>
              </w:rPr>
            </w:pPr>
            <w:r>
              <w:rPr>
                <w:rFonts w:eastAsiaTheme="minorEastAsia" w:cs="Calibri"/>
                <w:sz w:val="16"/>
                <w:szCs w:val="16"/>
                <w:lang w:val="en-US"/>
              </w:rPr>
              <w:t>1</w:t>
            </w:r>
          </w:p>
        </w:tc>
        <w:tc>
          <w:tcPr>
            <w:tcW w:w="486" w:type="pct"/>
            <w:tcBorders>
              <w:left w:val="single" w:sz="4" w:space="0" w:color="FFC000"/>
              <w:bottom w:val="single" w:sz="18" w:space="0" w:color="3A73AE" w:themeColor="accent1"/>
              <w:right w:val="single" w:sz="4" w:space="0" w:color="FFC000"/>
            </w:tcBorders>
            <w:shd w:val="clear" w:color="auto" w:fill="FFFFFF" w:themeFill="background1"/>
            <w:vAlign w:val="center"/>
          </w:tcPr>
          <w:p w14:paraId="75658775" w14:textId="2C364294" w:rsidR="00BA5DF0" w:rsidRPr="004F4AFD" w:rsidRDefault="00BA5DF0" w:rsidP="00BA5DF0">
            <w:pPr>
              <w:tabs>
                <w:tab w:val="left" w:pos="284"/>
              </w:tabs>
              <w:spacing w:after="0"/>
              <w:jc w:val="right"/>
              <w:rPr>
                <w:rFonts w:eastAsiaTheme="minorEastAsia" w:cs="Calibri"/>
                <w:sz w:val="16"/>
                <w:szCs w:val="16"/>
                <w:lang w:val="en-US"/>
              </w:rPr>
            </w:pPr>
            <w:r>
              <w:rPr>
                <w:rFonts w:eastAsiaTheme="minorEastAsia" w:cs="Calibri"/>
                <w:sz w:val="16"/>
                <w:szCs w:val="16"/>
                <w:lang w:val="en-US"/>
              </w:rPr>
              <w:t>(3)</w:t>
            </w:r>
          </w:p>
        </w:tc>
        <w:tc>
          <w:tcPr>
            <w:tcW w:w="488" w:type="pct"/>
            <w:tcBorders>
              <w:left w:val="single" w:sz="2" w:space="0" w:color="FFC000"/>
              <w:bottom w:val="single" w:sz="18" w:space="0" w:color="3A73AE" w:themeColor="accent1"/>
              <w:right w:val="single" w:sz="4" w:space="0" w:color="FFC000"/>
            </w:tcBorders>
            <w:shd w:val="clear" w:color="auto" w:fill="FFFFFF" w:themeFill="background1"/>
          </w:tcPr>
          <w:p w14:paraId="530A882B" w14:textId="581FBB8E" w:rsidR="00BA5DF0" w:rsidRPr="004F4AFD" w:rsidRDefault="00BA5DF0" w:rsidP="00BA5DF0">
            <w:pPr>
              <w:tabs>
                <w:tab w:val="left" w:pos="284"/>
              </w:tabs>
              <w:spacing w:after="0"/>
              <w:jc w:val="right"/>
              <w:rPr>
                <w:rFonts w:eastAsiaTheme="minorEastAsia" w:cs="Calibri"/>
                <w:sz w:val="16"/>
                <w:szCs w:val="16"/>
                <w:lang w:val="en-US"/>
              </w:rPr>
            </w:pPr>
            <w:r w:rsidRPr="00025A06">
              <w:rPr>
                <w:rFonts w:eastAsiaTheme="minorEastAsia" w:cs="Calibri"/>
                <w:color w:val="000000" w:themeColor="text1"/>
                <w:sz w:val="16"/>
                <w:szCs w:val="16"/>
                <w:lang w:val="en-US"/>
              </w:rPr>
              <w:t>n/m</w:t>
            </w:r>
          </w:p>
        </w:tc>
        <w:tc>
          <w:tcPr>
            <w:tcW w:w="486" w:type="pct"/>
            <w:tcBorders>
              <w:left w:val="single" w:sz="18" w:space="0" w:color="FFC000"/>
              <w:bottom w:val="single" w:sz="18" w:space="0" w:color="3A73AE" w:themeColor="accent1"/>
              <w:right w:val="single" w:sz="4" w:space="0" w:color="FFC000"/>
            </w:tcBorders>
            <w:shd w:val="clear" w:color="auto" w:fill="FFFFFF" w:themeFill="background1"/>
            <w:vAlign w:val="center"/>
          </w:tcPr>
          <w:p w14:paraId="5616AC6A" w14:textId="5B1D9AC7" w:rsidR="00BA5DF0" w:rsidRPr="004F4AFD" w:rsidRDefault="00BA5DF0" w:rsidP="00BA5DF0">
            <w:pPr>
              <w:tabs>
                <w:tab w:val="left" w:pos="284"/>
              </w:tabs>
              <w:spacing w:after="0"/>
              <w:jc w:val="right"/>
              <w:rPr>
                <w:rFonts w:eastAsiaTheme="minorEastAsia" w:cs="Calibri"/>
                <w:sz w:val="16"/>
                <w:szCs w:val="16"/>
                <w:lang w:val="en-US"/>
              </w:rPr>
            </w:pPr>
            <w:r>
              <w:rPr>
                <w:rFonts w:eastAsiaTheme="minorEastAsia" w:cs="Calibri"/>
                <w:sz w:val="16"/>
                <w:szCs w:val="16"/>
                <w:lang w:val="en-US"/>
              </w:rPr>
              <w:t>(2)</w:t>
            </w:r>
          </w:p>
        </w:tc>
        <w:tc>
          <w:tcPr>
            <w:tcW w:w="486" w:type="pct"/>
            <w:tcBorders>
              <w:left w:val="single" w:sz="4" w:space="0" w:color="FFC000"/>
              <w:bottom w:val="single" w:sz="18" w:space="0" w:color="3A73AE" w:themeColor="accent1"/>
              <w:right w:val="single" w:sz="4" w:space="0" w:color="FFC000"/>
            </w:tcBorders>
            <w:shd w:val="clear" w:color="auto" w:fill="FFFFFF" w:themeFill="background1"/>
            <w:vAlign w:val="center"/>
          </w:tcPr>
          <w:p w14:paraId="3EE153B2" w14:textId="1CEFEEA9" w:rsidR="00BA5DF0" w:rsidRPr="00D70117" w:rsidRDefault="00BA5DF0" w:rsidP="00BA5DF0">
            <w:pPr>
              <w:tabs>
                <w:tab w:val="left" w:pos="284"/>
              </w:tabs>
              <w:spacing w:after="0"/>
              <w:jc w:val="right"/>
              <w:rPr>
                <w:rFonts w:eastAsiaTheme="minorEastAsia" w:cs="Calibri"/>
                <w:sz w:val="16"/>
                <w:szCs w:val="16"/>
                <w:lang w:val="en-US"/>
              </w:rPr>
            </w:pPr>
            <w:r>
              <w:rPr>
                <w:rFonts w:eastAsiaTheme="minorEastAsia" w:cs="Calibri"/>
                <w:sz w:val="16"/>
                <w:szCs w:val="16"/>
                <w:lang w:val="en-US"/>
              </w:rPr>
              <w:t>(5)</w:t>
            </w:r>
          </w:p>
        </w:tc>
        <w:tc>
          <w:tcPr>
            <w:tcW w:w="484" w:type="pct"/>
            <w:tcBorders>
              <w:left w:val="single" w:sz="4" w:space="0" w:color="FFC000"/>
              <w:bottom w:val="single" w:sz="18" w:space="0" w:color="3A73AE" w:themeColor="accent1"/>
              <w:right w:val="single" w:sz="4" w:space="0" w:color="FFC000"/>
            </w:tcBorders>
            <w:shd w:val="clear" w:color="auto" w:fill="FFFFFF" w:themeFill="background1"/>
          </w:tcPr>
          <w:p w14:paraId="6554B0CC" w14:textId="172543A9" w:rsidR="00BA5DF0" w:rsidRPr="004F4AFD" w:rsidRDefault="00BA5DF0" w:rsidP="00BA5DF0">
            <w:pPr>
              <w:tabs>
                <w:tab w:val="left" w:pos="284"/>
              </w:tabs>
              <w:spacing w:after="0"/>
              <w:jc w:val="right"/>
              <w:rPr>
                <w:rFonts w:eastAsiaTheme="minorEastAsia" w:cs="Calibri"/>
                <w:sz w:val="16"/>
                <w:szCs w:val="16"/>
                <w:lang w:val="en-US"/>
              </w:rPr>
            </w:pPr>
            <w:r w:rsidRPr="00F12FBD">
              <w:rPr>
                <w:rFonts w:eastAsiaTheme="minorEastAsia" w:cs="Calibri"/>
                <w:color w:val="000000" w:themeColor="text1"/>
                <w:sz w:val="16"/>
                <w:szCs w:val="16"/>
                <w:lang w:val="en-US"/>
              </w:rPr>
              <w:t>n/m</w:t>
            </w:r>
          </w:p>
        </w:tc>
      </w:tr>
    </w:tbl>
    <w:p w14:paraId="55C23759" w14:textId="77777777" w:rsidR="00703B9A" w:rsidRPr="0030408C" w:rsidRDefault="00703B9A" w:rsidP="00703B9A">
      <w:pPr>
        <w:rPr>
          <w:rFonts w:eastAsiaTheme="minorEastAsia" w:cs="Calibri"/>
          <w:color w:val="FF0000"/>
          <w:sz w:val="16"/>
          <w:szCs w:val="16"/>
          <w:lang w:val="en-US"/>
        </w:rPr>
      </w:pPr>
    </w:p>
    <w:p w14:paraId="6BA2CB69" w14:textId="216D93F5" w:rsidR="00F008C7" w:rsidRDefault="00F008C7" w:rsidP="004018F6">
      <w:pPr>
        <w:pStyle w:val="ListParagraph"/>
        <w:numPr>
          <w:ilvl w:val="0"/>
          <w:numId w:val="9"/>
        </w:numPr>
        <w:tabs>
          <w:tab w:val="left" w:pos="426"/>
          <w:tab w:val="left" w:pos="8262"/>
        </w:tabs>
        <w:spacing w:before="160"/>
        <w:ind w:left="-1418" w:right="258" w:hanging="283"/>
        <w:jc w:val="both"/>
        <w:rPr>
          <w:rFonts w:cstheme="majorHAnsi"/>
          <w:sz w:val="12"/>
          <w:szCs w:val="14"/>
          <w:lang w:val="el-GR"/>
        </w:rPr>
      </w:pPr>
      <w:r w:rsidRPr="00084B16">
        <w:rPr>
          <w:rFonts w:cstheme="majorHAnsi"/>
          <w:sz w:val="12"/>
          <w:szCs w:val="14"/>
          <w:lang w:val="el-GR"/>
        </w:rPr>
        <w:t>Τα</w:t>
      </w:r>
      <w:r w:rsidRPr="00F008C7">
        <w:rPr>
          <w:rFonts w:cstheme="majorHAnsi"/>
          <w:sz w:val="12"/>
          <w:szCs w:val="14"/>
          <w:lang w:val="el-GR"/>
        </w:rPr>
        <w:t xml:space="preserve"> </w:t>
      </w:r>
      <w:r w:rsidR="00BA5DF0">
        <w:rPr>
          <w:rFonts w:cstheme="majorHAnsi"/>
          <w:sz w:val="12"/>
          <w:szCs w:val="14"/>
          <w:lang w:val="el-GR"/>
        </w:rPr>
        <w:t>έκτακτα</w:t>
      </w:r>
      <w:r w:rsidRPr="00F008C7">
        <w:rPr>
          <w:rFonts w:cstheme="majorHAnsi"/>
          <w:sz w:val="12"/>
          <w:szCs w:val="14"/>
          <w:lang w:val="el-GR"/>
        </w:rPr>
        <w:t xml:space="preserve"> </w:t>
      </w:r>
      <w:r w:rsidRPr="00084B16">
        <w:rPr>
          <w:rFonts w:cstheme="majorHAnsi"/>
          <w:sz w:val="12"/>
          <w:szCs w:val="14"/>
          <w:lang w:val="el-GR"/>
        </w:rPr>
        <w:t>στοιχεία</w:t>
      </w:r>
      <w:r w:rsidRPr="00F008C7">
        <w:rPr>
          <w:rFonts w:cstheme="majorHAnsi"/>
          <w:sz w:val="12"/>
          <w:szCs w:val="14"/>
          <w:lang w:val="el-GR"/>
        </w:rPr>
        <w:t xml:space="preserve"> </w:t>
      </w:r>
      <w:r w:rsidRPr="00084B16">
        <w:rPr>
          <w:rFonts w:cstheme="majorHAnsi"/>
          <w:sz w:val="12"/>
          <w:szCs w:val="14"/>
          <w:lang w:val="el-GR"/>
        </w:rPr>
        <w:t>αναφέρονται</w:t>
      </w:r>
      <w:r w:rsidRPr="00F008C7">
        <w:rPr>
          <w:rFonts w:cstheme="majorHAnsi"/>
          <w:sz w:val="12"/>
          <w:szCs w:val="14"/>
          <w:lang w:val="el-GR"/>
        </w:rPr>
        <w:t xml:space="preserve"> (</w:t>
      </w:r>
      <w:r>
        <w:rPr>
          <w:rFonts w:cstheme="majorHAnsi"/>
          <w:sz w:val="12"/>
          <w:szCs w:val="14"/>
          <w:lang w:val="el-GR"/>
        </w:rPr>
        <w:t>α</w:t>
      </w:r>
      <w:r w:rsidRPr="00F008C7">
        <w:rPr>
          <w:rFonts w:cstheme="majorHAnsi"/>
          <w:sz w:val="12"/>
          <w:szCs w:val="14"/>
          <w:lang w:val="el-GR"/>
        </w:rPr>
        <w:t xml:space="preserve">) </w:t>
      </w:r>
      <w:r>
        <w:rPr>
          <w:rFonts w:cstheme="majorHAnsi"/>
          <w:sz w:val="12"/>
          <w:szCs w:val="14"/>
          <w:lang w:val="el-GR"/>
        </w:rPr>
        <w:t>στο</w:t>
      </w:r>
      <w:r w:rsidRPr="00F008C7">
        <w:rPr>
          <w:rFonts w:cstheme="majorHAnsi"/>
          <w:sz w:val="12"/>
          <w:szCs w:val="14"/>
          <w:lang w:val="el-GR"/>
        </w:rPr>
        <w:t xml:space="preserve"> </w:t>
      </w:r>
      <w:r>
        <w:rPr>
          <w:rFonts w:cstheme="majorHAnsi"/>
          <w:sz w:val="12"/>
          <w:szCs w:val="14"/>
          <w:lang w:val="el-GR"/>
        </w:rPr>
        <w:t>κέρδος</w:t>
      </w:r>
      <w:r w:rsidRPr="00F008C7">
        <w:rPr>
          <w:rFonts w:cstheme="majorHAnsi"/>
          <w:sz w:val="12"/>
          <w:szCs w:val="14"/>
          <w:lang w:val="el-GR"/>
        </w:rPr>
        <w:t xml:space="preserve"> </w:t>
      </w:r>
      <w:r>
        <w:rPr>
          <w:rFonts w:cstheme="majorHAnsi"/>
          <w:sz w:val="12"/>
          <w:szCs w:val="14"/>
          <w:lang w:val="el-GR"/>
        </w:rPr>
        <w:t>από</w:t>
      </w:r>
      <w:r w:rsidRPr="00F008C7">
        <w:rPr>
          <w:rFonts w:cstheme="majorHAnsi"/>
          <w:sz w:val="12"/>
          <w:szCs w:val="14"/>
          <w:lang w:val="el-GR"/>
        </w:rPr>
        <w:t xml:space="preserve"> </w:t>
      </w:r>
      <w:r>
        <w:rPr>
          <w:rFonts w:cstheme="majorHAnsi"/>
          <w:sz w:val="12"/>
          <w:szCs w:val="14"/>
          <w:lang w:val="el-GR"/>
        </w:rPr>
        <w:t>το</w:t>
      </w:r>
      <w:r w:rsidRPr="00F008C7">
        <w:rPr>
          <w:rFonts w:cstheme="majorHAnsi"/>
          <w:sz w:val="12"/>
          <w:szCs w:val="14"/>
          <w:lang w:val="el-GR"/>
        </w:rPr>
        <w:t xml:space="preserve"> </w:t>
      </w:r>
      <w:r>
        <w:rPr>
          <w:rFonts w:cstheme="majorHAnsi"/>
          <w:sz w:val="12"/>
          <w:szCs w:val="14"/>
          <w:lang w:val="el-GR"/>
        </w:rPr>
        <w:t>χαρτοφυλάκιο</w:t>
      </w:r>
      <w:r w:rsidRPr="00F008C7">
        <w:rPr>
          <w:rFonts w:cstheme="majorHAnsi"/>
          <w:sz w:val="12"/>
          <w:szCs w:val="14"/>
          <w:lang w:val="el-GR"/>
        </w:rPr>
        <w:t xml:space="preserve"> </w:t>
      </w:r>
      <w:r w:rsidR="0013797D">
        <w:rPr>
          <w:rFonts w:cstheme="majorHAnsi"/>
          <w:sz w:val="12"/>
          <w:szCs w:val="14"/>
          <w:lang w:val="el-GR"/>
        </w:rPr>
        <w:t xml:space="preserve">κρατικών </w:t>
      </w:r>
      <w:r>
        <w:rPr>
          <w:rFonts w:cstheme="majorHAnsi"/>
          <w:sz w:val="12"/>
          <w:szCs w:val="14"/>
          <w:lang w:val="el-GR"/>
        </w:rPr>
        <w:t>χρεογράφων</w:t>
      </w:r>
      <w:r w:rsidRPr="00F008C7">
        <w:rPr>
          <w:rFonts w:cstheme="majorHAnsi"/>
          <w:sz w:val="12"/>
          <w:szCs w:val="14"/>
          <w:lang w:val="el-GR"/>
        </w:rPr>
        <w:t xml:space="preserve"> </w:t>
      </w:r>
      <w:r>
        <w:rPr>
          <w:rFonts w:cstheme="majorHAnsi"/>
          <w:sz w:val="12"/>
          <w:szCs w:val="14"/>
          <w:lang w:val="el-GR"/>
        </w:rPr>
        <w:t>ύψους</w:t>
      </w:r>
      <w:r w:rsidRPr="00F008C7">
        <w:rPr>
          <w:rFonts w:cstheme="majorHAnsi"/>
          <w:sz w:val="12"/>
          <w:szCs w:val="14"/>
          <w:lang w:val="el-GR"/>
        </w:rPr>
        <w:t xml:space="preserve"> €</w:t>
      </w:r>
      <w:r w:rsidR="006D68C1">
        <w:rPr>
          <w:rFonts w:cstheme="majorHAnsi"/>
          <w:sz w:val="12"/>
          <w:szCs w:val="14"/>
          <w:lang w:val="el-GR"/>
        </w:rPr>
        <w:t>387</w:t>
      </w:r>
      <w:r w:rsidRPr="00F008C7">
        <w:rPr>
          <w:rFonts w:cstheme="majorHAnsi"/>
          <w:sz w:val="12"/>
          <w:szCs w:val="14"/>
          <w:lang w:val="el-GR"/>
        </w:rPr>
        <w:t xml:space="preserve"> </w:t>
      </w:r>
      <w:r>
        <w:rPr>
          <w:rFonts w:cstheme="majorHAnsi"/>
          <w:sz w:val="12"/>
          <w:szCs w:val="14"/>
          <w:lang w:val="el-GR"/>
        </w:rPr>
        <w:t>εκατ</w:t>
      </w:r>
      <w:r w:rsidRPr="00F008C7">
        <w:rPr>
          <w:rFonts w:cstheme="majorHAnsi"/>
          <w:sz w:val="12"/>
          <w:szCs w:val="14"/>
          <w:lang w:val="el-GR"/>
        </w:rPr>
        <w:t xml:space="preserve">. </w:t>
      </w:r>
      <w:r>
        <w:rPr>
          <w:rFonts w:cstheme="majorHAnsi"/>
          <w:sz w:val="12"/>
          <w:szCs w:val="14"/>
          <w:lang w:val="el-GR"/>
        </w:rPr>
        <w:t>το</w:t>
      </w:r>
      <w:r w:rsidRPr="00F008C7">
        <w:rPr>
          <w:rFonts w:cstheme="majorHAnsi"/>
          <w:sz w:val="12"/>
          <w:szCs w:val="14"/>
          <w:lang w:val="el-GR"/>
        </w:rPr>
        <w:t xml:space="preserve"> 1</w:t>
      </w:r>
      <w:r w:rsidRPr="009F538B">
        <w:rPr>
          <w:rFonts w:cstheme="majorHAnsi"/>
          <w:sz w:val="12"/>
          <w:szCs w:val="14"/>
          <w:vertAlign w:val="superscript"/>
          <w:lang w:val="el-GR"/>
        </w:rPr>
        <w:t>ο</w:t>
      </w:r>
      <w:r w:rsidRPr="00F008C7">
        <w:rPr>
          <w:rFonts w:cstheme="majorHAnsi"/>
          <w:sz w:val="12"/>
          <w:szCs w:val="14"/>
          <w:lang w:val="el-GR"/>
        </w:rPr>
        <w:t xml:space="preserve"> </w:t>
      </w:r>
      <w:r>
        <w:rPr>
          <w:rFonts w:cstheme="majorHAnsi"/>
          <w:sz w:val="12"/>
          <w:szCs w:val="14"/>
          <w:lang w:val="el-GR"/>
        </w:rPr>
        <w:t>τρίμηνο</w:t>
      </w:r>
      <w:r w:rsidRPr="00F008C7">
        <w:rPr>
          <w:rFonts w:cstheme="majorHAnsi"/>
          <w:sz w:val="12"/>
          <w:szCs w:val="14"/>
          <w:lang w:val="el-GR"/>
        </w:rPr>
        <w:t xml:space="preserve"> 2021 </w:t>
      </w:r>
      <w:r w:rsidRPr="009F538B">
        <w:rPr>
          <w:rFonts w:cstheme="majorHAnsi"/>
          <w:sz w:val="12"/>
          <w:szCs w:val="14"/>
          <w:lang w:val="el-GR"/>
        </w:rPr>
        <w:t>στα</w:t>
      </w:r>
      <w:r w:rsidRPr="00F008C7">
        <w:rPr>
          <w:rFonts w:cstheme="majorHAnsi"/>
          <w:sz w:val="12"/>
          <w:szCs w:val="14"/>
          <w:lang w:val="el-GR"/>
        </w:rPr>
        <w:t xml:space="preserve"> </w:t>
      </w:r>
      <w:r w:rsidRPr="009F538B">
        <w:rPr>
          <w:rFonts w:cstheme="majorHAnsi"/>
          <w:sz w:val="12"/>
          <w:szCs w:val="14"/>
          <w:lang w:val="el-GR"/>
        </w:rPr>
        <w:t>χρηματοοικονομικά</w:t>
      </w:r>
      <w:r w:rsidRPr="00F008C7">
        <w:rPr>
          <w:rFonts w:cstheme="majorHAnsi"/>
          <w:sz w:val="12"/>
          <w:szCs w:val="14"/>
          <w:lang w:val="el-GR"/>
        </w:rPr>
        <w:t xml:space="preserve"> </w:t>
      </w:r>
      <w:r w:rsidRPr="009F538B">
        <w:rPr>
          <w:rFonts w:cstheme="majorHAnsi"/>
          <w:sz w:val="12"/>
          <w:szCs w:val="14"/>
          <w:lang w:val="el-GR"/>
        </w:rPr>
        <w:t>έσοδα</w:t>
      </w:r>
      <w:r w:rsidRPr="00F008C7">
        <w:rPr>
          <w:rFonts w:cstheme="majorHAnsi"/>
          <w:sz w:val="12"/>
          <w:szCs w:val="14"/>
          <w:lang w:val="el-GR"/>
        </w:rPr>
        <w:t>,</w:t>
      </w:r>
      <w:r w:rsidR="00703B9A" w:rsidRPr="00F008C7">
        <w:rPr>
          <w:rFonts w:cstheme="majorHAnsi"/>
          <w:sz w:val="12"/>
          <w:szCs w:val="14"/>
          <w:lang w:val="el-GR"/>
        </w:rPr>
        <w:t xml:space="preserve"> </w:t>
      </w:r>
      <w:r w:rsidRPr="00F008C7">
        <w:rPr>
          <w:rFonts w:cstheme="majorHAnsi"/>
          <w:sz w:val="12"/>
          <w:szCs w:val="14"/>
          <w:lang w:val="el-GR"/>
        </w:rPr>
        <w:t>(β) στο κόστος προγράμματος αποχώρησης €40 εκατ. το 2</w:t>
      </w:r>
      <w:r w:rsidRPr="00F008C7">
        <w:rPr>
          <w:rFonts w:cstheme="majorHAnsi"/>
          <w:sz w:val="12"/>
          <w:szCs w:val="14"/>
          <w:vertAlign w:val="superscript"/>
          <w:lang w:val="el-GR"/>
        </w:rPr>
        <w:t>ο</w:t>
      </w:r>
      <w:r w:rsidRPr="00F008C7">
        <w:rPr>
          <w:rFonts w:cstheme="majorHAnsi"/>
          <w:sz w:val="12"/>
          <w:szCs w:val="14"/>
          <w:lang w:val="el-GR"/>
        </w:rPr>
        <w:t xml:space="preserve"> τρίμηνο 2021 </w:t>
      </w:r>
      <w:r w:rsidR="0013797D">
        <w:rPr>
          <w:rFonts w:cstheme="majorHAnsi"/>
          <w:sz w:val="12"/>
          <w:szCs w:val="14"/>
          <w:lang w:val="el-GR"/>
        </w:rPr>
        <w:t>στις δαπάνες</w:t>
      </w:r>
      <w:r w:rsidRPr="00F008C7">
        <w:rPr>
          <w:rFonts w:cstheme="majorHAnsi"/>
          <w:sz w:val="12"/>
          <w:szCs w:val="14"/>
          <w:lang w:val="el-GR"/>
        </w:rPr>
        <w:t xml:space="preserve"> προσωπικού,</w:t>
      </w:r>
      <w:r w:rsidR="00703B9A" w:rsidRPr="00F008C7">
        <w:rPr>
          <w:rFonts w:cstheme="majorHAnsi"/>
          <w:sz w:val="12"/>
          <w:szCs w:val="14"/>
          <w:lang w:val="el-GR"/>
        </w:rPr>
        <w:t xml:space="preserve"> (</w:t>
      </w:r>
      <w:r>
        <w:rPr>
          <w:rFonts w:cstheme="majorHAnsi"/>
          <w:sz w:val="12"/>
          <w:szCs w:val="14"/>
          <w:lang w:val="el-GR"/>
        </w:rPr>
        <w:t>γ</w:t>
      </w:r>
      <w:r w:rsidR="00703B9A" w:rsidRPr="00F008C7">
        <w:rPr>
          <w:rFonts w:cstheme="majorHAnsi"/>
          <w:sz w:val="12"/>
          <w:szCs w:val="14"/>
          <w:lang w:val="el-GR"/>
        </w:rPr>
        <w:t xml:space="preserve">) </w:t>
      </w:r>
      <w:r w:rsidR="00BC3D5A">
        <w:rPr>
          <w:rFonts w:cstheme="majorHAnsi"/>
          <w:sz w:val="12"/>
          <w:szCs w:val="14"/>
          <w:lang w:val="el-GR"/>
        </w:rPr>
        <w:t xml:space="preserve">σε </w:t>
      </w:r>
      <w:r w:rsidR="00BB07CA">
        <w:rPr>
          <w:rFonts w:cstheme="majorHAnsi"/>
          <w:sz w:val="12"/>
          <w:szCs w:val="14"/>
          <w:lang w:val="el-GR"/>
        </w:rPr>
        <w:t xml:space="preserve">μη επαναλαμβανόμενα </w:t>
      </w:r>
      <w:r w:rsidR="00BC3D5A">
        <w:rPr>
          <w:rFonts w:cstheme="majorHAnsi"/>
          <w:sz w:val="12"/>
          <w:szCs w:val="14"/>
          <w:lang w:val="el-GR"/>
        </w:rPr>
        <w:t xml:space="preserve">έξοδα </w:t>
      </w:r>
      <w:r w:rsidR="00FF4D94">
        <w:rPr>
          <w:rFonts w:cstheme="majorHAnsi"/>
          <w:sz w:val="12"/>
          <w:szCs w:val="14"/>
          <w:lang w:val="el-GR"/>
        </w:rPr>
        <w:t>€7εκατ. στα γενικά διοικητικά έξοδα</w:t>
      </w:r>
      <w:r w:rsidR="0013797D">
        <w:rPr>
          <w:rFonts w:cstheme="majorHAnsi"/>
          <w:sz w:val="12"/>
          <w:szCs w:val="14"/>
          <w:lang w:val="el-GR"/>
        </w:rPr>
        <w:t xml:space="preserve"> το 1</w:t>
      </w:r>
      <w:r w:rsidR="0013797D" w:rsidRPr="0013797D">
        <w:rPr>
          <w:rFonts w:cstheme="majorHAnsi"/>
          <w:sz w:val="12"/>
          <w:szCs w:val="14"/>
          <w:vertAlign w:val="superscript"/>
          <w:lang w:val="el-GR"/>
        </w:rPr>
        <w:t>ο</w:t>
      </w:r>
      <w:r w:rsidR="0013797D">
        <w:rPr>
          <w:rFonts w:cstheme="majorHAnsi"/>
          <w:sz w:val="12"/>
          <w:szCs w:val="14"/>
          <w:lang w:val="el-GR"/>
        </w:rPr>
        <w:t xml:space="preserve"> τρίμηνο 2021</w:t>
      </w:r>
      <w:r w:rsidR="00FF4D94">
        <w:rPr>
          <w:rFonts w:cstheme="majorHAnsi"/>
          <w:sz w:val="12"/>
          <w:szCs w:val="14"/>
          <w:lang w:val="el-GR"/>
        </w:rPr>
        <w:t xml:space="preserve">, (δ) </w:t>
      </w:r>
      <w:r w:rsidR="0013797D">
        <w:rPr>
          <w:rFonts w:cstheme="majorHAnsi"/>
          <w:sz w:val="12"/>
          <w:szCs w:val="14"/>
          <w:lang w:val="el-GR"/>
        </w:rPr>
        <w:t xml:space="preserve">στη </w:t>
      </w:r>
      <w:r w:rsidRPr="00F008C7">
        <w:rPr>
          <w:rFonts w:cstheme="majorHAnsi"/>
          <w:sz w:val="12"/>
          <w:szCs w:val="14"/>
          <w:lang w:val="el-GR"/>
        </w:rPr>
        <w:t xml:space="preserve">μη επαναλαμβανόμενη απομείωση δανείων και άλλων περιουσιακών στοιχείων για </w:t>
      </w:r>
      <w:r w:rsidR="0013797D">
        <w:rPr>
          <w:rFonts w:cstheme="majorHAnsi"/>
          <w:sz w:val="12"/>
          <w:szCs w:val="14"/>
          <w:lang w:val="el-GR"/>
        </w:rPr>
        <w:t xml:space="preserve">δάνεια / </w:t>
      </w:r>
      <w:r w:rsidRPr="00F008C7">
        <w:rPr>
          <w:rFonts w:cstheme="majorHAnsi"/>
          <w:sz w:val="12"/>
          <w:szCs w:val="14"/>
          <w:lang w:val="el-GR"/>
        </w:rPr>
        <w:t>χαρτοφυλάκια που επηρεάσ</w:t>
      </w:r>
      <w:r w:rsidR="0013797D">
        <w:rPr>
          <w:rFonts w:cstheme="majorHAnsi"/>
          <w:sz w:val="12"/>
          <w:szCs w:val="14"/>
          <w:lang w:val="el-GR"/>
        </w:rPr>
        <w:t>θ</w:t>
      </w:r>
      <w:r w:rsidRPr="00F008C7">
        <w:rPr>
          <w:rFonts w:cstheme="majorHAnsi"/>
          <w:sz w:val="12"/>
          <w:szCs w:val="14"/>
          <w:lang w:val="el-GR"/>
        </w:rPr>
        <w:t xml:space="preserve">ηκαν από το </w:t>
      </w:r>
      <w:r w:rsidRPr="00F008C7">
        <w:rPr>
          <w:rFonts w:cstheme="majorHAnsi"/>
          <w:sz w:val="12"/>
          <w:szCs w:val="14"/>
        </w:rPr>
        <w:t>COVID</w:t>
      </w:r>
      <w:r w:rsidRPr="00F008C7">
        <w:rPr>
          <w:rFonts w:cstheme="majorHAnsi"/>
          <w:sz w:val="12"/>
          <w:szCs w:val="14"/>
          <w:lang w:val="el-GR"/>
        </w:rPr>
        <w:t xml:space="preserve">-19 </w:t>
      </w:r>
      <w:r w:rsidR="008470C1">
        <w:rPr>
          <w:rFonts w:cstheme="majorHAnsi"/>
          <w:sz w:val="12"/>
          <w:szCs w:val="14"/>
          <w:lang w:val="el-GR"/>
        </w:rPr>
        <w:t xml:space="preserve">το 2020 </w:t>
      </w:r>
      <w:r w:rsidRPr="00F008C7">
        <w:rPr>
          <w:rFonts w:cstheme="majorHAnsi"/>
          <w:sz w:val="12"/>
          <w:szCs w:val="14"/>
          <w:lang w:val="el-GR"/>
        </w:rPr>
        <w:t xml:space="preserve">και απομείωση στο πλαίσιο του πλάνου μείωσης </w:t>
      </w:r>
      <w:r w:rsidRPr="00F008C7">
        <w:rPr>
          <w:rFonts w:cstheme="majorHAnsi"/>
          <w:sz w:val="12"/>
          <w:szCs w:val="14"/>
        </w:rPr>
        <w:t>NPEs</w:t>
      </w:r>
      <w:r w:rsidRPr="00F008C7">
        <w:rPr>
          <w:rFonts w:cstheme="majorHAnsi"/>
          <w:sz w:val="12"/>
          <w:szCs w:val="14"/>
          <w:lang w:val="el-GR"/>
        </w:rPr>
        <w:t xml:space="preserve"> </w:t>
      </w:r>
      <w:r w:rsidR="008470C1">
        <w:rPr>
          <w:rFonts w:cstheme="majorHAnsi"/>
          <w:sz w:val="12"/>
          <w:szCs w:val="14"/>
          <w:lang w:val="el-GR"/>
        </w:rPr>
        <w:t>το 2021 ως εξής</w:t>
      </w:r>
      <w:r w:rsidR="008470C1" w:rsidRPr="008470C1">
        <w:rPr>
          <w:rFonts w:cstheme="majorHAnsi"/>
          <w:sz w:val="12"/>
          <w:szCs w:val="14"/>
          <w:lang w:val="el-GR"/>
        </w:rPr>
        <w:t xml:space="preserve">: </w:t>
      </w:r>
      <w:r w:rsidRPr="00F008C7">
        <w:rPr>
          <w:rFonts w:cstheme="majorHAnsi"/>
          <w:sz w:val="12"/>
          <w:szCs w:val="14"/>
          <w:lang w:val="el-GR"/>
        </w:rPr>
        <w:t>συνολικ</w:t>
      </w:r>
      <w:r w:rsidR="008470C1">
        <w:rPr>
          <w:rFonts w:cstheme="majorHAnsi"/>
          <w:sz w:val="12"/>
          <w:szCs w:val="14"/>
          <w:lang w:val="el-GR"/>
        </w:rPr>
        <w:t xml:space="preserve">ό ποσό </w:t>
      </w:r>
      <w:r w:rsidRPr="00F008C7">
        <w:rPr>
          <w:rFonts w:cstheme="majorHAnsi"/>
          <w:sz w:val="12"/>
          <w:szCs w:val="14"/>
          <w:lang w:val="el-GR"/>
        </w:rPr>
        <w:t>€329 εκατ. το 1</w:t>
      </w:r>
      <w:r w:rsidRPr="00F008C7">
        <w:rPr>
          <w:rFonts w:cstheme="majorHAnsi"/>
          <w:sz w:val="12"/>
          <w:szCs w:val="14"/>
          <w:vertAlign w:val="superscript"/>
          <w:lang w:val="el-GR"/>
        </w:rPr>
        <w:t>ο</w:t>
      </w:r>
      <w:r w:rsidRPr="00F008C7">
        <w:rPr>
          <w:rFonts w:cstheme="majorHAnsi"/>
          <w:sz w:val="12"/>
          <w:szCs w:val="14"/>
          <w:lang w:val="el-GR"/>
        </w:rPr>
        <w:t xml:space="preserve"> </w:t>
      </w:r>
      <w:r w:rsidR="00AA7EDD">
        <w:rPr>
          <w:rFonts w:cstheme="majorHAnsi"/>
          <w:sz w:val="12"/>
          <w:szCs w:val="14"/>
          <w:lang w:val="el-GR"/>
        </w:rPr>
        <w:t xml:space="preserve">εξάμηνο 2020, </w:t>
      </w:r>
      <w:r w:rsidRPr="00F008C7">
        <w:rPr>
          <w:rFonts w:cstheme="majorHAnsi"/>
          <w:sz w:val="12"/>
          <w:szCs w:val="14"/>
          <w:lang w:val="el-GR"/>
        </w:rPr>
        <w:t>€829 εκατ. το 1</w:t>
      </w:r>
      <w:r w:rsidRPr="00F008C7">
        <w:rPr>
          <w:rFonts w:cstheme="majorHAnsi"/>
          <w:sz w:val="12"/>
          <w:szCs w:val="14"/>
          <w:vertAlign w:val="superscript"/>
          <w:lang w:val="el-GR"/>
        </w:rPr>
        <w:t>ο</w:t>
      </w:r>
      <w:r w:rsidRPr="00F008C7">
        <w:rPr>
          <w:rFonts w:cstheme="majorHAnsi"/>
          <w:sz w:val="12"/>
          <w:szCs w:val="14"/>
          <w:lang w:val="el-GR"/>
        </w:rPr>
        <w:t xml:space="preserve"> τρίμηνο</w:t>
      </w:r>
      <w:r w:rsidR="006D45DF" w:rsidRPr="006D45DF">
        <w:rPr>
          <w:rFonts w:cstheme="majorHAnsi"/>
          <w:sz w:val="12"/>
          <w:szCs w:val="14"/>
          <w:lang w:val="el-GR"/>
        </w:rPr>
        <w:t xml:space="preserve"> 2021</w:t>
      </w:r>
      <w:r w:rsidRPr="00F008C7">
        <w:rPr>
          <w:rFonts w:cstheme="majorHAnsi"/>
          <w:sz w:val="12"/>
          <w:szCs w:val="14"/>
          <w:lang w:val="el-GR"/>
        </w:rPr>
        <w:t xml:space="preserve"> </w:t>
      </w:r>
      <w:r>
        <w:rPr>
          <w:rFonts w:cstheme="majorHAnsi"/>
          <w:sz w:val="12"/>
          <w:szCs w:val="14"/>
          <w:lang w:val="el-GR"/>
        </w:rPr>
        <w:t xml:space="preserve">και </w:t>
      </w:r>
      <w:r w:rsidRPr="00F008C7">
        <w:rPr>
          <w:rFonts w:cstheme="majorHAnsi"/>
          <w:sz w:val="12"/>
          <w:szCs w:val="14"/>
          <w:lang w:val="el-GR"/>
        </w:rPr>
        <w:t>€</w:t>
      </w:r>
      <w:r>
        <w:rPr>
          <w:rFonts w:cstheme="majorHAnsi"/>
          <w:sz w:val="12"/>
          <w:szCs w:val="14"/>
          <w:lang w:val="el-GR"/>
        </w:rPr>
        <w:t>2.207</w:t>
      </w:r>
      <w:r w:rsidRPr="00F008C7">
        <w:rPr>
          <w:rFonts w:cstheme="majorHAnsi"/>
          <w:sz w:val="12"/>
          <w:szCs w:val="14"/>
          <w:lang w:val="el-GR"/>
        </w:rPr>
        <w:t xml:space="preserve"> εκατ. το </w:t>
      </w:r>
      <w:r>
        <w:rPr>
          <w:rFonts w:cstheme="majorHAnsi"/>
          <w:sz w:val="12"/>
          <w:szCs w:val="14"/>
          <w:lang w:val="el-GR"/>
        </w:rPr>
        <w:t>2</w:t>
      </w:r>
      <w:r w:rsidRPr="00F008C7">
        <w:rPr>
          <w:rFonts w:cstheme="majorHAnsi"/>
          <w:sz w:val="12"/>
          <w:szCs w:val="14"/>
          <w:vertAlign w:val="superscript"/>
          <w:lang w:val="el-GR"/>
        </w:rPr>
        <w:t>ο</w:t>
      </w:r>
      <w:r w:rsidRPr="00F008C7">
        <w:rPr>
          <w:rFonts w:cstheme="majorHAnsi"/>
          <w:sz w:val="12"/>
          <w:szCs w:val="14"/>
          <w:lang w:val="el-GR"/>
        </w:rPr>
        <w:t xml:space="preserve"> τρίμηνο </w:t>
      </w:r>
      <w:r w:rsidR="006D45DF" w:rsidRPr="006D45DF">
        <w:rPr>
          <w:rFonts w:cstheme="majorHAnsi"/>
          <w:sz w:val="12"/>
          <w:szCs w:val="14"/>
          <w:lang w:val="el-GR"/>
        </w:rPr>
        <w:t>2021.</w:t>
      </w:r>
      <w:r w:rsidRPr="00F008C7">
        <w:rPr>
          <w:rFonts w:cstheme="majorHAnsi"/>
          <w:sz w:val="12"/>
          <w:szCs w:val="14"/>
          <w:lang w:val="el-GR"/>
        </w:rPr>
        <w:t xml:space="preserve"> </w:t>
      </w:r>
    </w:p>
    <w:p w14:paraId="03D1DA53" w14:textId="58EB762F" w:rsidR="0013797D" w:rsidRPr="00D30246" w:rsidRDefault="0013797D" w:rsidP="00D30246">
      <w:pPr>
        <w:tabs>
          <w:tab w:val="left" w:pos="426"/>
          <w:tab w:val="left" w:pos="8262"/>
        </w:tabs>
        <w:spacing w:before="160"/>
        <w:ind w:left="-1418" w:right="258"/>
        <w:jc w:val="both"/>
        <w:rPr>
          <w:rFonts w:cstheme="majorHAnsi"/>
          <w:sz w:val="12"/>
          <w:szCs w:val="14"/>
        </w:rPr>
      </w:pPr>
      <w:r>
        <w:rPr>
          <w:rFonts w:cstheme="majorHAnsi"/>
          <w:sz w:val="12"/>
          <w:szCs w:val="14"/>
        </w:rPr>
        <w:t>Σημείωση</w:t>
      </w:r>
      <w:r w:rsidR="00D30246">
        <w:rPr>
          <w:rFonts w:cstheme="majorHAnsi"/>
          <w:sz w:val="12"/>
          <w:szCs w:val="14"/>
        </w:rPr>
        <w:t xml:space="preserve">: </w:t>
      </w:r>
      <w:r w:rsidR="00D30246">
        <w:rPr>
          <w:rFonts w:cstheme="majorHAnsi"/>
          <w:sz w:val="12"/>
          <w:szCs w:val="14"/>
          <w:lang w:val="en-US"/>
        </w:rPr>
        <w:t>n</w:t>
      </w:r>
      <w:r w:rsidR="00D30246" w:rsidRPr="00D30246">
        <w:rPr>
          <w:rFonts w:cstheme="majorHAnsi"/>
          <w:sz w:val="12"/>
          <w:szCs w:val="14"/>
        </w:rPr>
        <w:t>/</w:t>
      </w:r>
      <w:r w:rsidR="00D30246">
        <w:rPr>
          <w:rFonts w:cstheme="majorHAnsi"/>
          <w:sz w:val="12"/>
          <w:szCs w:val="14"/>
          <w:lang w:val="en-US"/>
        </w:rPr>
        <w:t>m</w:t>
      </w:r>
      <w:r w:rsidR="00D30246" w:rsidRPr="00D30246">
        <w:rPr>
          <w:rFonts w:cstheme="majorHAnsi"/>
          <w:sz w:val="12"/>
          <w:szCs w:val="14"/>
        </w:rPr>
        <w:t xml:space="preserve"> </w:t>
      </w:r>
      <w:r w:rsidR="00D30246">
        <w:rPr>
          <w:rFonts w:cstheme="majorHAnsi"/>
          <w:sz w:val="12"/>
          <w:szCs w:val="14"/>
        </w:rPr>
        <w:t>αναφ</w:t>
      </w:r>
      <w:r w:rsidR="00452381">
        <w:rPr>
          <w:rFonts w:cstheme="majorHAnsi"/>
          <w:sz w:val="12"/>
          <w:szCs w:val="14"/>
        </w:rPr>
        <w:t xml:space="preserve">έρεται ως μη </w:t>
      </w:r>
      <w:r w:rsidR="00102839">
        <w:rPr>
          <w:rFonts w:cstheme="majorHAnsi"/>
          <w:sz w:val="12"/>
          <w:szCs w:val="14"/>
        </w:rPr>
        <w:t>αντιπροσωπευτική</w:t>
      </w:r>
      <w:r w:rsidR="00452381">
        <w:rPr>
          <w:rFonts w:cstheme="majorHAnsi"/>
          <w:sz w:val="12"/>
          <w:szCs w:val="14"/>
        </w:rPr>
        <w:t xml:space="preserve"> μεταβολή </w:t>
      </w:r>
    </w:p>
    <w:p w14:paraId="0CF7C6BA" w14:textId="77777777" w:rsidR="008470C1" w:rsidRPr="00F008C7" w:rsidRDefault="008470C1">
      <w:pPr>
        <w:rPr>
          <w:rFonts w:eastAsiaTheme="minorEastAsia" w:cs="Calibri"/>
          <w:color w:val="FF0000"/>
          <w:sz w:val="16"/>
          <w:szCs w:val="16"/>
        </w:rPr>
      </w:pPr>
    </w:p>
    <w:p w14:paraId="765E9DB8" w14:textId="32A71409" w:rsidR="001447EE" w:rsidRDefault="001447EE" w:rsidP="001447EE">
      <w:pPr>
        <w:ind w:left="-1080"/>
        <w:rPr>
          <w:rFonts w:eastAsia="Times New Roman" w:cs="Calibri"/>
          <w:b/>
          <w:i/>
          <w:color w:val="3A73AE" w:themeColor="accent1"/>
          <w:sz w:val="27"/>
          <w:szCs w:val="27"/>
        </w:rPr>
      </w:pPr>
      <w:r w:rsidRPr="001447EE">
        <w:rPr>
          <w:rFonts w:eastAsia="Times New Roman" w:cs="Calibri"/>
          <w:b/>
          <w:i/>
          <w:color w:val="3A73AE" w:themeColor="accent1"/>
          <w:sz w:val="27"/>
          <w:szCs w:val="27"/>
        </w:rPr>
        <w:t>ΓΛΩΣΣΑΡΙ / ΕΝΑΛΛΑΚΤΙΚ</w:t>
      </w:r>
      <w:r w:rsidRPr="001447EE">
        <w:rPr>
          <w:rFonts w:eastAsia="Times New Roman" w:cs="Calibri"/>
          <w:b/>
          <w:i/>
          <w:color w:val="3A73AE" w:themeColor="accent1"/>
          <w:sz w:val="27"/>
          <w:szCs w:val="27"/>
          <w:lang w:val="en-US"/>
        </w:rPr>
        <w:t>OI</w:t>
      </w:r>
      <w:r w:rsidRPr="001447EE">
        <w:rPr>
          <w:rFonts w:eastAsia="Times New Roman" w:cs="Calibri"/>
          <w:b/>
          <w:i/>
          <w:color w:val="3A73AE" w:themeColor="accent1"/>
          <w:sz w:val="27"/>
          <w:szCs w:val="27"/>
        </w:rPr>
        <w:t xml:space="preserve"> ΔΕΙΚΤΕΣ ΜΕΤΡΗΣΗΣ ΑΠΟΔΟΣΗΣ (ΕΔΜΑ) </w:t>
      </w:r>
    </w:p>
    <w:tbl>
      <w:tblPr>
        <w:tblW w:w="8794" w:type="dxa"/>
        <w:tblInd w:w="-1005" w:type="dxa"/>
        <w:tblBorders>
          <w:top w:val="outset" w:sz="6" w:space="0" w:color="auto"/>
          <w:left w:val="outset" w:sz="6" w:space="0" w:color="auto"/>
          <w:bottom w:val="outset" w:sz="6" w:space="0" w:color="auto"/>
          <w:right w:val="outset" w:sz="6" w:space="0" w:color="auto"/>
        </w:tblBorders>
        <w:tblLayout w:type="fixed"/>
        <w:tblCellMar>
          <w:top w:w="57" w:type="dxa"/>
          <w:left w:w="57" w:type="dxa"/>
          <w:right w:w="0" w:type="dxa"/>
        </w:tblCellMar>
        <w:tblLook w:val="04A0" w:firstRow="1" w:lastRow="0" w:firstColumn="1" w:lastColumn="0" w:noHBand="0" w:noVBand="1"/>
      </w:tblPr>
      <w:tblGrid>
        <w:gridCol w:w="399"/>
        <w:gridCol w:w="2398"/>
        <w:gridCol w:w="5997"/>
      </w:tblGrid>
      <w:tr w:rsidR="00CE52CE" w:rsidRPr="006B036E" w14:paraId="79AE9354" w14:textId="77777777" w:rsidTr="00F41D49">
        <w:trPr>
          <w:trHeight w:val="236"/>
          <w:tblHeader/>
        </w:trPr>
        <w:tc>
          <w:tcPr>
            <w:tcW w:w="399" w:type="dxa"/>
            <w:tcBorders>
              <w:top w:val="single" w:sz="6" w:space="0" w:color="3A73AE"/>
              <w:left w:val="single" w:sz="6" w:space="0" w:color="3A73AE"/>
              <w:bottom w:val="single" w:sz="6" w:space="0" w:color="3A73AE"/>
              <w:right w:val="single" w:sz="6" w:space="0" w:color="3A73AE"/>
            </w:tcBorders>
            <w:shd w:val="clear" w:color="auto" w:fill="3A73AE" w:themeFill="accent1"/>
            <w:vAlign w:val="center"/>
            <w:hideMark/>
          </w:tcPr>
          <w:p w14:paraId="06FE0305" w14:textId="77777777" w:rsidR="00CE52CE" w:rsidRPr="006B036E" w:rsidRDefault="00CE52CE" w:rsidP="00F41D49">
            <w:pPr>
              <w:jc w:val="center"/>
              <w:rPr>
                <w:rFonts w:cstheme="minorHAnsi"/>
                <w:color w:val="FFFFFF" w:themeColor="background1"/>
                <w:sz w:val="16"/>
                <w:szCs w:val="16"/>
              </w:rPr>
            </w:pPr>
            <w:r w:rsidRPr="006B036E">
              <w:rPr>
                <w:rFonts w:cstheme="minorHAnsi"/>
                <w:b/>
                <w:bCs/>
                <w:color w:val="FFFFFF" w:themeColor="background1"/>
                <w:sz w:val="16"/>
                <w:szCs w:val="16"/>
                <w:lang w:val="en-US"/>
              </w:rPr>
              <w:t>#</w:t>
            </w:r>
          </w:p>
        </w:tc>
        <w:tc>
          <w:tcPr>
            <w:tcW w:w="2398" w:type="dxa"/>
            <w:tcBorders>
              <w:top w:val="single" w:sz="6" w:space="0" w:color="3A73AE"/>
              <w:left w:val="nil"/>
              <w:bottom w:val="single" w:sz="6" w:space="0" w:color="3A73AE"/>
              <w:right w:val="single" w:sz="6" w:space="0" w:color="3A73AE"/>
            </w:tcBorders>
            <w:shd w:val="clear" w:color="auto" w:fill="3A73AE" w:themeFill="accent1"/>
            <w:vAlign w:val="bottom"/>
            <w:hideMark/>
          </w:tcPr>
          <w:p w14:paraId="59C698FA" w14:textId="77777777" w:rsidR="00CE52CE" w:rsidRPr="006B036E" w:rsidRDefault="00CE52CE" w:rsidP="00F41D49">
            <w:pPr>
              <w:rPr>
                <w:rFonts w:cstheme="minorHAnsi"/>
                <w:color w:val="FFFFFF" w:themeColor="background1"/>
                <w:sz w:val="16"/>
                <w:szCs w:val="16"/>
              </w:rPr>
            </w:pPr>
            <w:r w:rsidRPr="006B036E">
              <w:rPr>
                <w:rFonts w:cstheme="minorHAnsi"/>
                <w:b/>
                <w:bCs/>
                <w:color w:val="FFFFFF" w:themeColor="background1"/>
                <w:sz w:val="16"/>
                <w:szCs w:val="16"/>
              </w:rPr>
              <w:t>Δείκτες Μέτρησης Απόδοσης</w:t>
            </w:r>
            <w:r w:rsidRPr="006B036E">
              <w:rPr>
                <w:rFonts w:cstheme="minorHAnsi"/>
                <w:color w:val="FFFFFF" w:themeColor="background1"/>
                <w:sz w:val="16"/>
                <w:szCs w:val="16"/>
              </w:rPr>
              <w:t> </w:t>
            </w:r>
          </w:p>
        </w:tc>
        <w:tc>
          <w:tcPr>
            <w:tcW w:w="5997" w:type="dxa"/>
            <w:tcBorders>
              <w:top w:val="single" w:sz="6" w:space="0" w:color="3A73AE"/>
              <w:left w:val="nil"/>
              <w:bottom w:val="single" w:sz="6" w:space="0" w:color="3A73AE"/>
              <w:right w:val="single" w:sz="6" w:space="0" w:color="3A73AE"/>
            </w:tcBorders>
            <w:shd w:val="clear" w:color="auto" w:fill="3A73AE" w:themeFill="accent1"/>
            <w:vAlign w:val="bottom"/>
            <w:hideMark/>
          </w:tcPr>
          <w:p w14:paraId="32E79792" w14:textId="77777777" w:rsidR="00CE52CE" w:rsidRPr="006B036E" w:rsidRDefault="00CE52CE" w:rsidP="00F41D49">
            <w:pPr>
              <w:rPr>
                <w:rFonts w:cstheme="minorHAnsi"/>
                <w:color w:val="FFFFFF" w:themeColor="background1"/>
                <w:sz w:val="16"/>
                <w:szCs w:val="16"/>
              </w:rPr>
            </w:pPr>
            <w:r w:rsidRPr="006B036E">
              <w:rPr>
                <w:rFonts w:cstheme="minorHAnsi"/>
                <w:b/>
                <w:bCs/>
                <w:color w:val="FFFFFF" w:themeColor="background1"/>
                <w:sz w:val="16"/>
                <w:szCs w:val="16"/>
              </w:rPr>
              <w:t>Επεξήγηση</w:t>
            </w:r>
            <w:r w:rsidRPr="006B036E">
              <w:rPr>
                <w:rFonts w:cstheme="minorHAnsi"/>
                <w:color w:val="FFFFFF" w:themeColor="background1"/>
                <w:sz w:val="16"/>
                <w:szCs w:val="16"/>
              </w:rPr>
              <w:t> </w:t>
            </w:r>
          </w:p>
        </w:tc>
      </w:tr>
      <w:tr w:rsidR="00CE52CE" w:rsidRPr="00253EBA" w14:paraId="196D97D9" w14:textId="77777777" w:rsidTr="00F41D49">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hideMark/>
          </w:tcPr>
          <w:p w14:paraId="3956EECF" w14:textId="77777777" w:rsidR="00CE52CE" w:rsidRPr="00136D12" w:rsidRDefault="00CE52CE" w:rsidP="00F41D49">
            <w:pPr>
              <w:jc w:val="center"/>
              <w:rPr>
                <w:rFonts w:cstheme="minorHAnsi"/>
                <w:sz w:val="16"/>
                <w:szCs w:val="16"/>
              </w:rPr>
            </w:pPr>
            <w:r w:rsidRPr="00136D12">
              <w:rPr>
                <w:rFonts w:cstheme="minorHAnsi"/>
                <w:sz w:val="16"/>
                <w:szCs w:val="16"/>
              </w:rPr>
              <w:t>1</w:t>
            </w:r>
          </w:p>
        </w:tc>
        <w:tc>
          <w:tcPr>
            <w:tcW w:w="2398" w:type="dxa"/>
            <w:tcBorders>
              <w:top w:val="nil"/>
              <w:left w:val="nil"/>
              <w:bottom w:val="single" w:sz="6" w:space="0" w:color="3A73AE"/>
              <w:right w:val="single" w:sz="6" w:space="0" w:color="3A73AE"/>
            </w:tcBorders>
            <w:shd w:val="clear" w:color="auto" w:fill="auto"/>
            <w:vAlign w:val="center"/>
          </w:tcPr>
          <w:p w14:paraId="57144740" w14:textId="77777777" w:rsidR="00CE52CE" w:rsidRPr="00B27E9B" w:rsidRDefault="00CE52CE" w:rsidP="00F41D49">
            <w:pPr>
              <w:rPr>
                <w:rFonts w:cstheme="minorHAnsi"/>
                <w:b/>
                <w:sz w:val="16"/>
                <w:szCs w:val="16"/>
              </w:rPr>
            </w:pPr>
            <w:r w:rsidRPr="00B27E9B">
              <w:rPr>
                <w:rFonts w:eastAsia="Times New Roman" w:cstheme="minorHAnsi"/>
                <w:b/>
                <w:sz w:val="16"/>
                <w:szCs w:val="16"/>
                <w:lang w:eastAsia="el-GR"/>
              </w:rPr>
              <w:t>Συνολικό Προσαρμοσμένο Ενεργητικό  </w:t>
            </w:r>
          </w:p>
        </w:tc>
        <w:tc>
          <w:tcPr>
            <w:tcW w:w="5997" w:type="dxa"/>
            <w:tcBorders>
              <w:top w:val="nil"/>
              <w:left w:val="nil"/>
              <w:bottom w:val="single" w:sz="6" w:space="0" w:color="3A73AE"/>
              <w:right w:val="single" w:sz="6" w:space="0" w:color="3A73AE"/>
            </w:tcBorders>
            <w:shd w:val="clear" w:color="auto" w:fill="auto"/>
          </w:tcPr>
          <w:p w14:paraId="3FFE4A1A" w14:textId="37F828BB" w:rsidR="00CE52CE" w:rsidRPr="00136D12" w:rsidRDefault="00CE52CE" w:rsidP="00F41D49">
            <w:pPr>
              <w:rPr>
                <w:rFonts w:cstheme="minorHAnsi"/>
                <w:sz w:val="16"/>
                <w:szCs w:val="16"/>
              </w:rPr>
            </w:pPr>
            <w:r w:rsidRPr="00136D12">
              <w:rPr>
                <w:rFonts w:eastAsia="Times New Roman" w:cstheme="minorHAnsi"/>
                <w:sz w:val="16"/>
                <w:szCs w:val="16"/>
                <w:lang w:eastAsia="el-GR"/>
              </w:rPr>
              <w:t>Σύνολο ενεργητικού εξαιρουμένων</w:t>
            </w:r>
            <w:r w:rsidRPr="00136D12">
              <w:rPr>
                <w:rFonts w:eastAsia="Times New Roman" w:cstheme="minorHAnsi"/>
                <w:sz w:val="16"/>
                <w:szCs w:val="16"/>
                <w:lang w:val="en-GB" w:eastAsia="el-GR"/>
              </w:rPr>
              <w:t> </w:t>
            </w:r>
            <w:r w:rsidRPr="00136D12">
              <w:rPr>
                <w:rFonts w:cstheme="minorHAnsi"/>
                <w:sz w:val="16"/>
                <w:szCs w:val="16"/>
              </w:rPr>
              <w:t>1) €1,7 δισ. στις  31 Δεκεμβρίου 2019 των διακοπτόμενων  δραστηριοτήτων και εποχικού δανείου ΟΠΕΚΕΠΕ 2) €1,6 δισ. των διακοπτόμενων  δραστηριοτήτων και εποχικού δανείου ΟΠΕΚΕΠΕ στις 31 Δεκεμβρίου 2020 3) 0,1 δισ. των διακοπτόμενων δραστηριοτήτων στις 31 Μαρτίου 2021</w:t>
            </w:r>
            <w:r w:rsidR="00BA5DF0">
              <w:rPr>
                <w:rFonts w:cstheme="minorHAnsi"/>
                <w:sz w:val="16"/>
                <w:szCs w:val="16"/>
              </w:rPr>
              <w:t xml:space="preserve"> και 30 Ιουνίου 2021</w:t>
            </w:r>
          </w:p>
        </w:tc>
      </w:tr>
      <w:tr w:rsidR="00CE52CE" w:rsidRPr="00253EBA" w14:paraId="612F59CD" w14:textId="77777777" w:rsidTr="00F41D49">
        <w:trPr>
          <w:trHeight w:val="660"/>
        </w:trPr>
        <w:tc>
          <w:tcPr>
            <w:tcW w:w="399" w:type="dxa"/>
            <w:tcBorders>
              <w:top w:val="nil"/>
              <w:left w:val="single" w:sz="6" w:space="0" w:color="3A73AE"/>
              <w:bottom w:val="single" w:sz="6" w:space="0" w:color="3A73AE"/>
              <w:right w:val="single" w:sz="6" w:space="0" w:color="3A73AE"/>
            </w:tcBorders>
            <w:shd w:val="clear" w:color="auto" w:fill="auto"/>
            <w:vAlign w:val="center"/>
          </w:tcPr>
          <w:p w14:paraId="1C670F7D" w14:textId="77777777" w:rsidR="00CE52CE" w:rsidRPr="00136D12" w:rsidRDefault="00CE52CE" w:rsidP="00F41D49">
            <w:pPr>
              <w:jc w:val="center"/>
              <w:rPr>
                <w:rFonts w:cstheme="minorHAnsi"/>
                <w:sz w:val="16"/>
                <w:szCs w:val="16"/>
              </w:rPr>
            </w:pPr>
            <w:r w:rsidRPr="00136D12">
              <w:rPr>
                <w:rFonts w:cstheme="minorHAnsi"/>
                <w:sz w:val="16"/>
                <w:szCs w:val="16"/>
              </w:rPr>
              <w:t>2</w:t>
            </w:r>
          </w:p>
        </w:tc>
        <w:tc>
          <w:tcPr>
            <w:tcW w:w="2398" w:type="dxa"/>
            <w:tcBorders>
              <w:top w:val="nil"/>
              <w:left w:val="nil"/>
              <w:bottom w:val="single" w:sz="6" w:space="0" w:color="3A73AE"/>
              <w:right w:val="single" w:sz="6" w:space="0" w:color="3A73AE"/>
            </w:tcBorders>
            <w:shd w:val="clear" w:color="auto" w:fill="auto"/>
            <w:vAlign w:val="center"/>
          </w:tcPr>
          <w:p w14:paraId="38C9F5F8" w14:textId="77777777" w:rsidR="00CE52CE" w:rsidRPr="00B27E9B" w:rsidRDefault="00CE52CE" w:rsidP="00F41D49">
            <w:pPr>
              <w:rPr>
                <w:rFonts w:eastAsia="Times New Roman" w:cstheme="minorHAnsi"/>
                <w:b/>
                <w:sz w:val="16"/>
                <w:szCs w:val="16"/>
                <w:lang w:eastAsia="el-GR"/>
              </w:rPr>
            </w:pPr>
            <w:r w:rsidRPr="00B27E9B">
              <w:rPr>
                <w:rFonts w:cstheme="minorHAnsi"/>
                <w:b/>
                <w:bCs/>
                <w:sz w:val="16"/>
                <w:szCs w:val="16"/>
              </w:rPr>
              <w:t>Έσοδα από Βασικές Τραπεζικές Δραστηριότητες (</w:t>
            </w:r>
            <w:r w:rsidRPr="00B27E9B">
              <w:rPr>
                <w:rFonts w:cstheme="minorHAnsi"/>
                <w:b/>
                <w:sz w:val="16"/>
                <w:szCs w:val="16"/>
              </w:rPr>
              <w:t>Έσοδα από τόκους και προμήθειες)</w:t>
            </w:r>
          </w:p>
        </w:tc>
        <w:tc>
          <w:tcPr>
            <w:tcW w:w="5997" w:type="dxa"/>
            <w:tcBorders>
              <w:top w:val="nil"/>
              <w:left w:val="nil"/>
              <w:bottom w:val="single" w:sz="6" w:space="0" w:color="3A73AE"/>
              <w:right w:val="single" w:sz="6" w:space="0" w:color="3A73AE"/>
            </w:tcBorders>
            <w:shd w:val="clear" w:color="auto" w:fill="auto"/>
            <w:vAlign w:val="center"/>
          </w:tcPr>
          <w:p w14:paraId="36EDF07A" w14:textId="77777777" w:rsidR="00CE52CE" w:rsidRPr="00136D12" w:rsidRDefault="00CE52CE" w:rsidP="00F41D49">
            <w:pPr>
              <w:rPr>
                <w:rFonts w:eastAsia="Times New Roman" w:cstheme="minorHAnsi"/>
                <w:sz w:val="16"/>
                <w:szCs w:val="16"/>
                <w:lang w:eastAsia="el-GR"/>
              </w:rPr>
            </w:pPr>
            <w:r w:rsidRPr="00136D12">
              <w:rPr>
                <w:rFonts w:cstheme="minorHAnsi"/>
                <w:sz w:val="16"/>
                <w:szCs w:val="16"/>
              </w:rPr>
              <w:t>Έντοκα έσοδα συν (+) έσοδα από προμήθειες</w:t>
            </w:r>
          </w:p>
        </w:tc>
      </w:tr>
      <w:tr w:rsidR="00CE52CE" w:rsidRPr="00253EBA" w14:paraId="57BD90AD" w14:textId="77777777" w:rsidTr="00F41D49">
        <w:trPr>
          <w:trHeight w:val="660"/>
        </w:trPr>
        <w:tc>
          <w:tcPr>
            <w:tcW w:w="399" w:type="dxa"/>
            <w:tcBorders>
              <w:top w:val="nil"/>
              <w:left w:val="single" w:sz="6" w:space="0" w:color="3A73AE"/>
              <w:bottom w:val="single" w:sz="6" w:space="0" w:color="3A73AE"/>
              <w:right w:val="single" w:sz="6" w:space="0" w:color="3A73AE"/>
            </w:tcBorders>
            <w:shd w:val="clear" w:color="auto" w:fill="auto"/>
            <w:vAlign w:val="center"/>
            <w:hideMark/>
          </w:tcPr>
          <w:p w14:paraId="7094F35F" w14:textId="77777777" w:rsidR="00CE52CE" w:rsidRPr="00136D12" w:rsidRDefault="00CE52CE" w:rsidP="00F41D49">
            <w:pPr>
              <w:jc w:val="center"/>
              <w:rPr>
                <w:rFonts w:cstheme="minorHAnsi"/>
                <w:sz w:val="16"/>
                <w:szCs w:val="16"/>
              </w:rPr>
            </w:pPr>
            <w:r w:rsidRPr="00136D12">
              <w:rPr>
                <w:rFonts w:cstheme="minorHAnsi"/>
                <w:sz w:val="16"/>
                <w:szCs w:val="16"/>
              </w:rPr>
              <w:t>3</w:t>
            </w:r>
          </w:p>
        </w:tc>
        <w:tc>
          <w:tcPr>
            <w:tcW w:w="2398" w:type="dxa"/>
            <w:tcBorders>
              <w:top w:val="nil"/>
              <w:left w:val="nil"/>
              <w:bottom w:val="single" w:sz="6" w:space="0" w:color="3A73AE"/>
              <w:right w:val="single" w:sz="6" w:space="0" w:color="3A73AE"/>
            </w:tcBorders>
            <w:shd w:val="clear" w:color="auto" w:fill="auto"/>
            <w:vAlign w:val="center"/>
          </w:tcPr>
          <w:p w14:paraId="1D4984EA" w14:textId="77777777" w:rsidR="00CE52CE" w:rsidRPr="00B27E9B" w:rsidRDefault="00CE52CE" w:rsidP="00F41D49">
            <w:pPr>
              <w:rPr>
                <w:rFonts w:cstheme="minorHAnsi"/>
                <w:b/>
                <w:sz w:val="16"/>
                <w:szCs w:val="16"/>
              </w:rPr>
            </w:pPr>
            <w:r w:rsidRPr="00B27E9B">
              <w:rPr>
                <w:rFonts w:eastAsia="Times New Roman" w:cstheme="minorHAnsi"/>
                <w:b/>
                <w:sz w:val="16"/>
                <w:szCs w:val="16"/>
                <w:lang w:eastAsia="el-GR"/>
              </w:rPr>
              <w:t>Επίπτωση του COVID-19 </w:t>
            </w:r>
          </w:p>
        </w:tc>
        <w:tc>
          <w:tcPr>
            <w:tcW w:w="5997" w:type="dxa"/>
            <w:tcBorders>
              <w:top w:val="nil"/>
              <w:left w:val="nil"/>
              <w:bottom w:val="single" w:sz="6" w:space="0" w:color="3A73AE"/>
              <w:right w:val="single" w:sz="6" w:space="0" w:color="3A73AE"/>
            </w:tcBorders>
            <w:shd w:val="clear" w:color="auto" w:fill="auto"/>
          </w:tcPr>
          <w:p w14:paraId="287CD329" w14:textId="77777777" w:rsidR="00CE52CE" w:rsidRPr="00136D12" w:rsidRDefault="00CE52CE" w:rsidP="00F41D49">
            <w:pPr>
              <w:rPr>
                <w:rFonts w:cstheme="minorHAnsi"/>
                <w:sz w:val="16"/>
                <w:szCs w:val="16"/>
              </w:rPr>
            </w:pPr>
            <w:r w:rsidRPr="00136D12">
              <w:rPr>
                <w:rFonts w:eastAsia="Times New Roman" w:cstheme="minorHAnsi"/>
                <w:sz w:val="16"/>
                <w:szCs w:val="16"/>
                <w:lang w:eastAsia="el-GR"/>
              </w:rPr>
              <w:t>Η επίπτωση του COVID-19 περιλαμβάνει αναμενόμενες ζημίες απομείωσης δανείων και άλλων στοιχείων ενεργητικού ώστε να αντικατοπτρίζουν τις επιδεινούμενες οικονομικές προοπτικές ως αποτέλεσμα του COVID-19</w:t>
            </w:r>
          </w:p>
        </w:tc>
      </w:tr>
      <w:tr w:rsidR="00CE52CE" w:rsidRPr="00253EBA" w14:paraId="7ECADA7E" w14:textId="77777777" w:rsidTr="00F41D49">
        <w:trPr>
          <w:trHeight w:val="705"/>
        </w:trPr>
        <w:tc>
          <w:tcPr>
            <w:tcW w:w="399" w:type="dxa"/>
            <w:tcBorders>
              <w:top w:val="nil"/>
              <w:left w:val="single" w:sz="6" w:space="0" w:color="3A73AE"/>
              <w:bottom w:val="single" w:sz="6" w:space="0" w:color="3A73AE"/>
              <w:right w:val="single" w:sz="6" w:space="0" w:color="3A73AE"/>
            </w:tcBorders>
            <w:shd w:val="clear" w:color="auto" w:fill="auto"/>
            <w:vAlign w:val="center"/>
            <w:hideMark/>
          </w:tcPr>
          <w:p w14:paraId="1E643350" w14:textId="77777777" w:rsidR="00CE52CE" w:rsidRPr="00136D12" w:rsidRDefault="00CE52CE" w:rsidP="00F41D49">
            <w:pPr>
              <w:jc w:val="center"/>
              <w:rPr>
                <w:rFonts w:cstheme="minorHAnsi"/>
                <w:sz w:val="16"/>
                <w:szCs w:val="16"/>
                <w:lang w:val="en-US"/>
              </w:rPr>
            </w:pPr>
            <w:r w:rsidRPr="00136D12">
              <w:rPr>
                <w:rFonts w:cstheme="minorHAnsi"/>
                <w:sz w:val="16"/>
                <w:szCs w:val="16"/>
                <w:lang w:val="en-US"/>
              </w:rPr>
              <w:t>4</w:t>
            </w:r>
          </w:p>
        </w:tc>
        <w:tc>
          <w:tcPr>
            <w:tcW w:w="2398" w:type="dxa"/>
            <w:tcBorders>
              <w:top w:val="nil"/>
              <w:left w:val="nil"/>
              <w:bottom w:val="single" w:sz="6" w:space="0" w:color="3A73AE"/>
              <w:right w:val="single" w:sz="6" w:space="0" w:color="3A73AE"/>
            </w:tcBorders>
            <w:shd w:val="clear" w:color="auto" w:fill="auto"/>
            <w:vAlign w:val="center"/>
          </w:tcPr>
          <w:p w14:paraId="05113E36" w14:textId="77777777" w:rsidR="00CE52CE" w:rsidRPr="00B27E9B" w:rsidRDefault="00CE52CE" w:rsidP="00F41D49">
            <w:pPr>
              <w:rPr>
                <w:rFonts w:cstheme="minorHAnsi"/>
                <w:b/>
                <w:sz w:val="16"/>
                <w:szCs w:val="16"/>
                <w:lang w:val="en-US"/>
              </w:rPr>
            </w:pPr>
            <w:r w:rsidRPr="00B27E9B">
              <w:rPr>
                <w:rFonts w:eastAsia="Times New Roman" w:cstheme="minorHAnsi"/>
                <w:b/>
                <w:sz w:val="16"/>
                <w:szCs w:val="16"/>
                <w:lang w:eastAsia="el-GR"/>
              </w:rPr>
              <w:t>Απομειώσεις ή Προβλέψεις </w:t>
            </w:r>
          </w:p>
        </w:tc>
        <w:tc>
          <w:tcPr>
            <w:tcW w:w="5997" w:type="dxa"/>
            <w:tcBorders>
              <w:top w:val="nil"/>
              <w:left w:val="nil"/>
              <w:bottom w:val="single" w:sz="6" w:space="0" w:color="3A73AE"/>
              <w:right w:val="single" w:sz="6" w:space="0" w:color="3A73AE"/>
            </w:tcBorders>
            <w:shd w:val="clear" w:color="auto" w:fill="auto"/>
            <w:vAlign w:val="center"/>
          </w:tcPr>
          <w:p w14:paraId="018C4F4C" w14:textId="77777777" w:rsidR="00CE52CE" w:rsidRPr="00136D12" w:rsidRDefault="00CE52CE" w:rsidP="00F41D49">
            <w:pPr>
              <w:rPr>
                <w:rFonts w:cstheme="minorHAnsi"/>
                <w:sz w:val="16"/>
                <w:szCs w:val="16"/>
              </w:rPr>
            </w:pPr>
            <w:r w:rsidRPr="00136D12">
              <w:rPr>
                <w:rFonts w:eastAsia="Times New Roman" w:cstheme="minorHAnsi"/>
                <w:sz w:val="16"/>
                <w:szCs w:val="16"/>
                <w:lang w:eastAsia="el-GR"/>
              </w:rPr>
              <w:t>Αναμενόμενες ζημίες απομείωσης δανείων και απαιτήσεων κατά πελατών στο αποσβέσιμο κόστος συν (+) Ζημίες απομείωσης λοιπών στοιχείων ενεργητικού συν (+) Ζημίες απομειώσεων χρηματοοικονομικών μέσων στην εύλογη αξία μέσω λοιπών συνολικών εσόδων συν (+) Απομείωση αξίας θυγατρικών και συγγενών εταιρειών συν (+) Απομείωση αξίας ενσώματων παγίων και άυλων στοιχείων ενεργητικού συν (+) Λοιπές ζημίες απομειώσεων </w:t>
            </w:r>
          </w:p>
        </w:tc>
      </w:tr>
      <w:tr w:rsidR="00CE52CE" w:rsidRPr="00253EBA" w14:paraId="092C7F86" w14:textId="77777777" w:rsidTr="00F41D49">
        <w:trPr>
          <w:trHeight w:val="643"/>
        </w:trPr>
        <w:tc>
          <w:tcPr>
            <w:tcW w:w="399" w:type="dxa"/>
            <w:tcBorders>
              <w:top w:val="nil"/>
              <w:left w:val="single" w:sz="6" w:space="0" w:color="3A73AE"/>
              <w:bottom w:val="single" w:sz="6" w:space="0" w:color="3A73AE"/>
              <w:right w:val="single" w:sz="6" w:space="0" w:color="3A73AE"/>
            </w:tcBorders>
            <w:shd w:val="clear" w:color="auto" w:fill="auto"/>
            <w:vAlign w:val="center"/>
            <w:hideMark/>
          </w:tcPr>
          <w:p w14:paraId="472D0358" w14:textId="77777777" w:rsidR="00CE52CE" w:rsidRPr="00136D12" w:rsidRDefault="00CE52CE" w:rsidP="00F41D49">
            <w:pPr>
              <w:jc w:val="center"/>
              <w:rPr>
                <w:rFonts w:cstheme="minorHAnsi"/>
                <w:sz w:val="16"/>
                <w:szCs w:val="16"/>
                <w:lang w:val="en-US"/>
              </w:rPr>
            </w:pPr>
            <w:r w:rsidRPr="00136D12">
              <w:rPr>
                <w:rFonts w:cstheme="minorHAnsi"/>
                <w:sz w:val="16"/>
                <w:szCs w:val="16"/>
                <w:lang w:val="en-US"/>
              </w:rPr>
              <w:t>5</w:t>
            </w:r>
          </w:p>
        </w:tc>
        <w:tc>
          <w:tcPr>
            <w:tcW w:w="2398" w:type="dxa"/>
            <w:tcBorders>
              <w:top w:val="nil"/>
              <w:left w:val="nil"/>
              <w:bottom w:val="single" w:sz="6" w:space="0" w:color="3A73AE"/>
              <w:right w:val="single" w:sz="6" w:space="0" w:color="3A73AE"/>
            </w:tcBorders>
            <w:shd w:val="clear" w:color="auto" w:fill="auto"/>
            <w:vAlign w:val="center"/>
          </w:tcPr>
          <w:p w14:paraId="24E617D1" w14:textId="77777777" w:rsidR="00CE52CE" w:rsidRPr="00B27E9B" w:rsidRDefault="00CE52CE" w:rsidP="00F41D49">
            <w:pPr>
              <w:rPr>
                <w:rFonts w:cstheme="minorHAnsi"/>
                <w:b/>
                <w:sz w:val="16"/>
                <w:szCs w:val="16"/>
              </w:rPr>
            </w:pPr>
            <w:r w:rsidRPr="00B27E9B">
              <w:rPr>
                <w:rFonts w:eastAsia="Times New Roman" w:cstheme="minorHAnsi"/>
                <w:b/>
                <w:sz w:val="16"/>
                <w:szCs w:val="16"/>
                <w:lang w:eastAsia="el-GR"/>
              </w:rPr>
              <w:t>Απομειώσεις (Έξοδο προβλέψεων) Δανείων  </w:t>
            </w:r>
          </w:p>
        </w:tc>
        <w:tc>
          <w:tcPr>
            <w:tcW w:w="5997" w:type="dxa"/>
            <w:tcBorders>
              <w:top w:val="nil"/>
              <w:left w:val="nil"/>
              <w:bottom w:val="single" w:sz="6" w:space="0" w:color="3A73AE"/>
              <w:right w:val="single" w:sz="6" w:space="0" w:color="3A73AE"/>
            </w:tcBorders>
            <w:shd w:val="clear" w:color="auto" w:fill="FFFFFF"/>
            <w:vAlign w:val="center"/>
          </w:tcPr>
          <w:p w14:paraId="2A2C8664" w14:textId="77777777" w:rsidR="00CE52CE" w:rsidRPr="00136D12" w:rsidRDefault="00CE52CE" w:rsidP="00F41D49">
            <w:pPr>
              <w:rPr>
                <w:rFonts w:cstheme="minorHAnsi"/>
                <w:sz w:val="16"/>
                <w:szCs w:val="16"/>
              </w:rPr>
            </w:pPr>
            <w:r w:rsidRPr="00136D12">
              <w:rPr>
                <w:rFonts w:eastAsia="Times New Roman" w:cstheme="minorHAnsi"/>
                <w:sz w:val="16"/>
                <w:szCs w:val="16"/>
                <w:lang w:eastAsia="el-GR"/>
              </w:rPr>
              <w:t>Αναμενόμενες ζημίες απομείωσης δανείων και απαιτήσεων κατά πελατών στο αποσβέσιμο κόστος</w:t>
            </w:r>
          </w:p>
        </w:tc>
      </w:tr>
      <w:tr w:rsidR="00ED3CAF" w:rsidRPr="00253EBA" w14:paraId="0EC559EE" w14:textId="77777777" w:rsidTr="00F41D49">
        <w:trPr>
          <w:trHeight w:val="540"/>
        </w:trPr>
        <w:tc>
          <w:tcPr>
            <w:tcW w:w="399" w:type="dxa"/>
            <w:tcBorders>
              <w:top w:val="nil"/>
              <w:left w:val="single" w:sz="6" w:space="0" w:color="3A73AE"/>
              <w:bottom w:val="single" w:sz="6" w:space="0" w:color="3A73AE"/>
              <w:right w:val="single" w:sz="6" w:space="0" w:color="3A73AE"/>
            </w:tcBorders>
            <w:shd w:val="clear" w:color="auto" w:fill="auto"/>
            <w:vAlign w:val="center"/>
            <w:hideMark/>
          </w:tcPr>
          <w:p w14:paraId="0B24FF51" w14:textId="3867FB89" w:rsidR="00ED3CAF" w:rsidRPr="00136D12" w:rsidRDefault="00ED3CAF" w:rsidP="00ED3CAF">
            <w:pPr>
              <w:jc w:val="center"/>
              <w:rPr>
                <w:rFonts w:cstheme="minorHAnsi"/>
                <w:sz w:val="16"/>
                <w:szCs w:val="16"/>
                <w:lang w:val="en-US"/>
              </w:rPr>
            </w:pPr>
            <w:r w:rsidRPr="00136D12">
              <w:rPr>
                <w:rFonts w:cstheme="minorHAnsi"/>
                <w:sz w:val="16"/>
                <w:szCs w:val="16"/>
                <w:lang w:val="en-US"/>
              </w:rPr>
              <w:t>6</w:t>
            </w:r>
          </w:p>
        </w:tc>
        <w:tc>
          <w:tcPr>
            <w:tcW w:w="2398" w:type="dxa"/>
            <w:tcBorders>
              <w:top w:val="nil"/>
              <w:left w:val="nil"/>
              <w:bottom w:val="single" w:sz="6" w:space="0" w:color="3A73AE"/>
              <w:right w:val="single" w:sz="6" w:space="0" w:color="3A73AE"/>
            </w:tcBorders>
            <w:shd w:val="clear" w:color="auto" w:fill="auto"/>
            <w:vAlign w:val="center"/>
          </w:tcPr>
          <w:p w14:paraId="25636C6B" w14:textId="3CC8CBEA" w:rsidR="00ED3CAF" w:rsidRPr="00B27E9B" w:rsidRDefault="00ED3CAF" w:rsidP="00ED3CAF">
            <w:pPr>
              <w:rPr>
                <w:rFonts w:cstheme="minorHAnsi"/>
                <w:b/>
                <w:sz w:val="16"/>
                <w:szCs w:val="16"/>
              </w:rPr>
            </w:pPr>
            <w:r w:rsidRPr="002341A2">
              <w:rPr>
                <w:rFonts w:eastAsia="Times New Roman" w:cstheme="minorHAnsi"/>
                <w:b/>
                <w:sz w:val="16"/>
                <w:szCs w:val="16"/>
                <w:lang w:eastAsia="el-GR"/>
              </w:rPr>
              <w:t>Απομειώσεις (Έξοδο προβλέψεων) Δανείων προς Δάνεια μετά από Προβλέψεις  </w:t>
            </w:r>
          </w:p>
        </w:tc>
        <w:tc>
          <w:tcPr>
            <w:tcW w:w="5997" w:type="dxa"/>
            <w:tcBorders>
              <w:top w:val="nil"/>
              <w:left w:val="nil"/>
              <w:bottom w:val="single" w:sz="6" w:space="0" w:color="3A73AE"/>
              <w:right w:val="single" w:sz="6" w:space="0" w:color="3A73AE"/>
            </w:tcBorders>
            <w:shd w:val="clear" w:color="auto" w:fill="auto"/>
            <w:vAlign w:val="center"/>
          </w:tcPr>
          <w:p w14:paraId="7242FBDE" w14:textId="047BBFA5" w:rsidR="00ED3CAF" w:rsidRPr="00136D12" w:rsidRDefault="00ED3CAF" w:rsidP="00ED3CAF">
            <w:pPr>
              <w:rPr>
                <w:rFonts w:cstheme="minorHAnsi"/>
                <w:sz w:val="16"/>
                <w:szCs w:val="16"/>
              </w:rPr>
            </w:pPr>
            <w:r w:rsidRPr="00136D12">
              <w:rPr>
                <w:rFonts w:eastAsia="Times New Roman" w:cstheme="minorHAnsi"/>
                <w:sz w:val="16"/>
                <w:szCs w:val="16"/>
                <w:lang w:eastAsia="el-GR"/>
              </w:rPr>
              <w:t>Αναμενόμενες ζημίες απομείωσης δανείων και απαιτήσεων κατά πελατών στο αποσβέσιμο κόστοςπου σχετίζονται με την αντίστοιχη περίοδο σε ετησιοποιημένη βάση - εξαιρουμένης της επίπτωσης του C</w:t>
            </w:r>
            <w:r>
              <w:rPr>
                <w:rFonts w:eastAsia="Times New Roman" w:cstheme="minorHAnsi"/>
                <w:sz w:val="16"/>
                <w:szCs w:val="16"/>
                <w:lang w:val="en-US" w:eastAsia="el-GR"/>
              </w:rPr>
              <w:t>OVID</w:t>
            </w:r>
            <w:r w:rsidRPr="00136D12">
              <w:rPr>
                <w:rFonts w:eastAsia="Times New Roman" w:cstheme="minorHAnsi"/>
                <w:sz w:val="16"/>
                <w:szCs w:val="16"/>
                <w:lang w:eastAsia="el-GR"/>
              </w:rPr>
              <w:t xml:space="preserve">-19 και άλλων απομειώσεων σχετιζόμενων με το νέο σχέδιο μείωσης αποθέματος </w:t>
            </w:r>
            <w:r w:rsidRPr="00136D12">
              <w:rPr>
                <w:rFonts w:eastAsia="Times New Roman" w:cstheme="minorHAnsi"/>
                <w:sz w:val="16"/>
                <w:szCs w:val="16"/>
                <w:lang w:val="en-US" w:eastAsia="el-GR"/>
              </w:rPr>
              <w:t>NPEs</w:t>
            </w:r>
            <w:r w:rsidRPr="00136D12">
              <w:rPr>
                <w:rFonts w:eastAsia="Times New Roman" w:cstheme="minorHAnsi"/>
                <w:sz w:val="16"/>
                <w:szCs w:val="16"/>
                <w:lang w:eastAsia="el-GR"/>
              </w:rPr>
              <w:t xml:space="preserve"> - προς (/) Δάνεια μετά από προβλέψεις  </w:t>
            </w:r>
          </w:p>
        </w:tc>
      </w:tr>
      <w:tr w:rsidR="00CE52CE" w:rsidRPr="00253EBA" w14:paraId="074DD435" w14:textId="77777777" w:rsidTr="00F41D49">
        <w:trPr>
          <w:trHeight w:val="442"/>
        </w:trPr>
        <w:tc>
          <w:tcPr>
            <w:tcW w:w="399" w:type="dxa"/>
            <w:tcBorders>
              <w:top w:val="nil"/>
              <w:left w:val="single" w:sz="6" w:space="0" w:color="3A73AE"/>
              <w:bottom w:val="single" w:sz="6" w:space="0" w:color="3A73AE"/>
              <w:right w:val="single" w:sz="6" w:space="0" w:color="3A73AE"/>
            </w:tcBorders>
            <w:shd w:val="clear" w:color="auto" w:fill="auto"/>
            <w:vAlign w:val="center"/>
            <w:hideMark/>
          </w:tcPr>
          <w:p w14:paraId="4417B0B0" w14:textId="77777777" w:rsidR="00CE52CE" w:rsidRPr="00136D12" w:rsidRDefault="00CE52CE" w:rsidP="00F41D49">
            <w:pPr>
              <w:jc w:val="center"/>
              <w:rPr>
                <w:rFonts w:cstheme="minorHAnsi"/>
                <w:sz w:val="16"/>
                <w:szCs w:val="16"/>
                <w:lang w:val="en-US"/>
              </w:rPr>
            </w:pPr>
            <w:r w:rsidRPr="00136D12">
              <w:rPr>
                <w:rFonts w:cstheme="minorHAnsi"/>
                <w:sz w:val="16"/>
                <w:szCs w:val="16"/>
                <w:lang w:val="en-US"/>
              </w:rPr>
              <w:t>7</w:t>
            </w:r>
          </w:p>
        </w:tc>
        <w:tc>
          <w:tcPr>
            <w:tcW w:w="2398" w:type="dxa"/>
            <w:tcBorders>
              <w:top w:val="nil"/>
              <w:left w:val="nil"/>
              <w:bottom w:val="single" w:sz="6" w:space="0" w:color="3A73AE"/>
              <w:right w:val="single" w:sz="6" w:space="0" w:color="3A73AE"/>
            </w:tcBorders>
            <w:shd w:val="clear" w:color="auto" w:fill="auto"/>
            <w:vAlign w:val="center"/>
          </w:tcPr>
          <w:p w14:paraId="5BE236BD" w14:textId="77777777" w:rsidR="00CE52CE" w:rsidRPr="00B27E9B" w:rsidRDefault="00CE52CE" w:rsidP="00F41D49">
            <w:pPr>
              <w:rPr>
                <w:rFonts w:cstheme="minorHAnsi"/>
                <w:b/>
                <w:sz w:val="16"/>
                <w:szCs w:val="16"/>
              </w:rPr>
            </w:pPr>
            <w:r w:rsidRPr="00B27E9B">
              <w:rPr>
                <w:rFonts w:eastAsia="Times New Roman" w:cstheme="minorHAnsi"/>
                <w:b/>
                <w:sz w:val="16"/>
                <w:szCs w:val="16"/>
                <w:lang w:eastAsia="el-GR"/>
              </w:rPr>
              <w:t>Αποτέλεσμα προ φόρων και προβλέψεων </w:t>
            </w:r>
          </w:p>
        </w:tc>
        <w:tc>
          <w:tcPr>
            <w:tcW w:w="5997" w:type="dxa"/>
            <w:tcBorders>
              <w:top w:val="nil"/>
              <w:left w:val="nil"/>
              <w:bottom w:val="single" w:sz="6" w:space="0" w:color="3A73AE"/>
              <w:right w:val="single" w:sz="6" w:space="0" w:color="3A73AE"/>
            </w:tcBorders>
            <w:shd w:val="clear" w:color="auto" w:fill="auto"/>
            <w:vAlign w:val="center"/>
          </w:tcPr>
          <w:p w14:paraId="105AD298" w14:textId="77777777" w:rsidR="00CE52CE" w:rsidRPr="00136D12" w:rsidRDefault="00CE52CE" w:rsidP="00F41D49">
            <w:pPr>
              <w:rPr>
                <w:rFonts w:cstheme="minorHAnsi"/>
                <w:sz w:val="16"/>
                <w:szCs w:val="16"/>
              </w:rPr>
            </w:pPr>
            <w:r w:rsidRPr="00136D12">
              <w:rPr>
                <w:rFonts w:eastAsia="Times New Roman" w:cstheme="minorHAnsi"/>
                <w:sz w:val="16"/>
                <w:szCs w:val="16"/>
                <w:lang w:eastAsia="el-GR"/>
              </w:rPr>
              <w:t>Κέρδη προ προβλέψεων, απομειώσεων και φόρου εισοδήματος </w:t>
            </w:r>
          </w:p>
        </w:tc>
      </w:tr>
      <w:tr w:rsidR="00CE52CE" w:rsidRPr="00253EBA" w14:paraId="5C43A766" w14:textId="77777777" w:rsidTr="00F41D49">
        <w:trPr>
          <w:trHeight w:val="442"/>
        </w:trPr>
        <w:tc>
          <w:tcPr>
            <w:tcW w:w="399" w:type="dxa"/>
            <w:tcBorders>
              <w:top w:val="nil"/>
              <w:left w:val="single" w:sz="6" w:space="0" w:color="3A73AE"/>
              <w:bottom w:val="single" w:sz="6" w:space="0" w:color="3A73AE"/>
              <w:right w:val="single" w:sz="6" w:space="0" w:color="3A73AE"/>
            </w:tcBorders>
            <w:shd w:val="clear" w:color="auto" w:fill="auto"/>
            <w:vAlign w:val="center"/>
          </w:tcPr>
          <w:p w14:paraId="4FD2B791" w14:textId="77777777" w:rsidR="00CE52CE" w:rsidRPr="00136D12" w:rsidRDefault="00CE52CE" w:rsidP="00F41D49">
            <w:pPr>
              <w:jc w:val="center"/>
              <w:rPr>
                <w:rFonts w:cstheme="minorHAnsi"/>
                <w:sz w:val="16"/>
                <w:szCs w:val="16"/>
                <w:lang w:val="en-US"/>
              </w:rPr>
            </w:pPr>
            <w:r w:rsidRPr="00136D12">
              <w:rPr>
                <w:rFonts w:cstheme="minorHAnsi"/>
                <w:sz w:val="16"/>
                <w:szCs w:val="16"/>
                <w:lang w:val="en-US"/>
              </w:rPr>
              <w:t>8</w:t>
            </w:r>
          </w:p>
        </w:tc>
        <w:tc>
          <w:tcPr>
            <w:tcW w:w="2398" w:type="dxa"/>
            <w:tcBorders>
              <w:top w:val="nil"/>
              <w:left w:val="nil"/>
              <w:bottom w:val="single" w:sz="6" w:space="0" w:color="3A73AE"/>
              <w:right w:val="single" w:sz="6" w:space="0" w:color="3A73AE"/>
            </w:tcBorders>
            <w:shd w:val="clear" w:color="auto" w:fill="auto"/>
            <w:vAlign w:val="center"/>
          </w:tcPr>
          <w:p w14:paraId="61D905FF" w14:textId="77777777" w:rsidR="00CE52CE" w:rsidRPr="00B27E9B" w:rsidRDefault="00CE52CE" w:rsidP="00F41D49">
            <w:pPr>
              <w:rPr>
                <w:rFonts w:eastAsia="Times New Roman" w:cstheme="minorHAnsi"/>
                <w:b/>
                <w:sz w:val="16"/>
                <w:szCs w:val="16"/>
                <w:lang w:eastAsia="el-GR"/>
              </w:rPr>
            </w:pPr>
            <w:r w:rsidRPr="00B27E9B">
              <w:rPr>
                <w:rFonts w:eastAsia="Times New Roman" w:cstheme="minorHAnsi"/>
                <w:b/>
                <w:sz w:val="16"/>
                <w:szCs w:val="16"/>
                <w:lang w:eastAsia="el-GR"/>
              </w:rPr>
              <w:t>Αποτέλεσμα προ φόρων και προβλέψεων σε επαναλαμβανόμενη βάση</w:t>
            </w:r>
          </w:p>
        </w:tc>
        <w:tc>
          <w:tcPr>
            <w:tcW w:w="5997" w:type="dxa"/>
            <w:tcBorders>
              <w:top w:val="nil"/>
              <w:left w:val="nil"/>
              <w:bottom w:val="single" w:sz="6" w:space="0" w:color="3A73AE"/>
              <w:right w:val="single" w:sz="6" w:space="0" w:color="3A73AE"/>
            </w:tcBorders>
            <w:shd w:val="clear" w:color="auto" w:fill="auto"/>
            <w:vAlign w:val="center"/>
          </w:tcPr>
          <w:p w14:paraId="5DC7FD0C" w14:textId="77777777" w:rsidR="00CE52CE" w:rsidRPr="00136D12" w:rsidRDefault="00CE52CE" w:rsidP="00F41D49">
            <w:pPr>
              <w:rPr>
                <w:rFonts w:eastAsia="Times New Roman" w:cstheme="minorHAnsi"/>
                <w:sz w:val="16"/>
                <w:szCs w:val="16"/>
                <w:lang w:eastAsia="el-GR"/>
              </w:rPr>
            </w:pPr>
            <w:r w:rsidRPr="00136D12">
              <w:rPr>
                <w:rFonts w:eastAsia="Times New Roman" w:cstheme="minorHAnsi"/>
                <w:sz w:val="16"/>
                <w:szCs w:val="16"/>
                <w:lang w:eastAsia="el-GR"/>
              </w:rPr>
              <w:t xml:space="preserve">Κέρδη προ προβλέψεων, απομειώσεων και φόρου εισοδήματος , εξαιρουμένων εφάπαξ στοιχείων σύμφωνα με τα στοιχεία #33 </w:t>
            </w:r>
          </w:p>
        </w:tc>
      </w:tr>
      <w:tr w:rsidR="00CE52CE" w:rsidRPr="00253EBA" w14:paraId="46E97885" w14:textId="77777777" w:rsidTr="00F41D49">
        <w:trPr>
          <w:trHeight w:val="476"/>
        </w:trPr>
        <w:tc>
          <w:tcPr>
            <w:tcW w:w="399" w:type="dxa"/>
            <w:tcBorders>
              <w:top w:val="nil"/>
              <w:left w:val="single" w:sz="6" w:space="0" w:color="3A73AE"/>
              <w:bottom w:val="single" w:sz="6" w:space="0" w:color="3A73AE"/>
              <w:right w:val="single" w:sz="6" w:space="0" w:color="3A73AE"/>
            </w:tcBorders>
            <w:shd w:val="clear" w:color="auto" w:fill="auto"/>
            <w:vAlign w:val="center"/>
          </w:tcPr>
          <w:p w14:paraId="2A79DF6E" w14:textId="77777777" w:rsidR="00CE52CE" w:rsidRPr="00136D12" w:rsidRDefault="00CE52CE" w:rsidP="00F41D49">
            <w:pPr>
              <w:jc w:val="center"/>
              <w:rPr>
                <w:rFonts w:cstheme="minorHAnsi"/>
                <w:sz w:val="16"/>
                <w:szCs w:val="16"/>
                <w:lang w:val="en-US"/>
              </w:rPr>
            </w:pPr>
            <w:r w:rsidRPr="00136D12">
              <w:rPr>
                <w:rFonts w:cstheme="minorHAnsi"/>
                <w:sz w:val="16"/>
                <w:szCs w:val="16"/>
                <w:lang w:val="en-US"/>
              </w:rPr>
              <w:t>9</w:t>
            </w:r>
          </w:p>
        </w:tc>
        <w:tc>
          <w:tcPr>
            <w:tcW w:w="2398" w:type="dxa"/>
            <w:tcBorders>
              <w:top w:val="nil"/>
              <w:left w:val="nil"/>
              <w:bottom w:val="single" w:sz="6" w:space="0" w:color="3A73AE"/>
              <w:right w:val="single" w:sz="6" w:space="0" w:color="3A73AE"/>
            </w:tcBorders>
            <w:shd w:val="clear" w:color="auto" w:fill="auto"/>
            <w:vAlign w:val="center"/>
          </w:tcPr>
          <w:p w14:paraId="207D3D9A" w14:textId="77777777" w:rsidR="00CE52CE" w:rsidRPr="00B27E9B" w:rsidRDefault="00CE52CE" w:rsidP="00F41D49">
            <w:pPr>
              <w:rPr>
                <w:rFonts w:eastAsia="Times New Roman" w:cstheme="minorHAnsi"/>
                <w:b/>
                <w:sz w:val="16"/>
                <w:szCs w:val="16"/>
                <w:lang w:eastAsia="el-GR"/>
              </w:rPr>
            </w:pPr>
            <w:r w:rsidRPr="00B27E9B">
              <w:rPr>
                <w:rFonts w:eastAsia="Times New Roman" w:cstheme="minorHAnsi"/>
                <w:b/>
                <w:sz w:val="16"/>
                <w:szCs w:val="16"/>
                <w:lang w:eastAsia="el-GR"/>
              </w:rPr>
              <w:t>Αποτέλεσμα (κέρδη) προ φόρων</w:t>
            </w:r>
          </w:p>
        </w:tc>
        <w:tc>
          <w:tcPr>
            <w:tcW w:w="5997" w:type="dxa"/>
            <w:tcBorders>
              <w:top w:val="nil"/>
              <w:left w:val="nil"/>
              <w:bottom w:val="single" w:sz="6" w:space="0" w:color="3A73AE"/>
              <w:right w:val="single" w:sz="6" w:space="0" w:color="3A73AE"/>
            </w:tcBorders>
            <w:shd w:val="clear" w:color="auto" w:fill="FFFFFF"/>
            <w:vAlign w:val="center"/>
          </w:tcPr>
          <w:p w14:paraId="7FB11116" w14:textId="77777777" w:rsidR="00CE52CE" w:rsidRPr="00136D12" w:rsidRDefault="00CE52CE" w:rsidP="00F41D49">
            <w:pPr>
              <w:rPr>
                <w:rFonts w:eastAsia="Times New Roman" w:cstheme="minorHAnsi"/>
                <w:sz w:val="16"/>
                <w:szCs w:val="16"/>
                <w:lang w:eastAsia="el-GR"/>
              </w:rPr>
            </w:pPr>
            <w:r w:rsidRPr="00136D12">
              <w:rPr>
                <w:rFonts w:eastAsia="Times New Roman" w:cstheme="minorHAnsi"/>
                <w:sz w:val="16"/>
                <w:szCs w:val="16"/>
                <w:lang w:eastAsia="el-GR"/>
              </w:rPr>
              <w:t>Κέρδη / ζημία προ φόρου εισοδήματος</w:t>
            </w:r>
          </w:p>
        </w:tc>
      </w:tr>
      <w:tr w:rsidR="00CE52CE" w:rsidRPr="00253EBA" w14:paraId="2EE46C9B" w14:textId="77777777" w:rsidTr="00F41D49">
        <w:trPr>
          <w:trHeight w:val="755"/>
        </w:trPr>
        <w:tc>
          <w:tcPr>
            <w:tcW w:w="399" w:type="dxa"/>
            <w:tcBorders>
              <w:top w:val="nil"/>
              <w:left w:val="single" w:sz="6" w:space="0" w:color="3A73AE"/>
              <w:bottom w:val="single" w:sz="6" w:space="0" w:color="3A73AE"/>
              <w:right w:val="single" w:sz="6" w:space="0" w:color="3A73AE"/>
            </w:tcBorders>
            <w:shd w:val="clear" w:color="auto" w:fill="auto"/>
            <w:vAlign w:val="center"/>
          </w:tcPr>
          <w:p w14:paraId="05C16627" w14:textId="77777777" w:rsidR="00CE52CE" w:rsidRPr="00136D12" w:rsidRDefault="00CE52CE" w:rsidP="00F41D49">
            <w:pPr>
              <w:jc w:val="center"/>
              <w:rPr>
                <w:rFonts w:cstheme="minorHAnsi"/>
                <w:sz w:val="16"/>
                <w:szCs w:val="16"/>
                <w:lang w:val="en-US"/>
              </w:rPr>
            </w:pPr>
            <w:r w:rsidRPr="00136D12">
              <w:rPr>
                <w:rFonts w:cstheme="minorHAnsi"/>
                <w:sz w:val="16"/>
                <w:szCs w:val="16"/>
                <w:lang w:val="en-US"/>
              </w:rPr>
              <w:t>10</w:t>
            </w:r>
          </w:p>
        </w:tc>
        <w:tc>
          <w:tcPr>
            <w:tcW w:w="2398" w:type="dxa"/>
            <w:tcBorders>
              <w:top w:val="nil"/>
              <w:left w:val="nil"/>
              <w:bottom w:val="single" w:sz="6" w:space="0" w:color="3A73AE"/>
              <w:right w:val="single" w:sz="6" w:space="0" w:color="3A73AE"/>
            </w:tcBorders>
            <w:shd w:val="clear" w:color="auto" w:fill="auto"/>
            <w:vAlign w:val="center"/>
          </w:tcPr>
          <w:p w14:paraId="6778A5DB" w14:textId="77777777" w:rsidR="00CE52CE" w:rsidRPr="00B27E9B" w:rsidRDefault="00CE52CE" w:rsidP="00F41D49">
            <w:pPr>
              <w:rPr>
                <w:rFonts w:cstheme="minorHAnsi"/>
                <w:b/>
                <w:sz w:val="16"/>
                <w:szCs w:val="16"/>
              </w:rPr>
            </w:pPr>
            <w:r w:rsidRPr="00B27E9B">
              <w:rPr>
                <w:rFonts w:eastAsia="Times New Roman" w:cstheme="minorHAnsi"/>
                <w:b/>
                <w:sz w:val="16"/>
                <w:szCs w:val="16"/>
                <w:lang w:eastAsia="el-GR"/>
              </w:rPr>
              <w:t>Αποτέλεσμα (κέρδη) προ φόρων σε επαναλαμβανόμενη βάση  </w:t>
            </w:r>
          </w:p>
        </w:tc>
        <w:tc>
          <w:tcPr>
            <w:tcW w:w="5997" w:type="dxa"/>
            <w:tcBorders>
              <w:top w:val="nil"/>
              <w:left w:val="nil"/>
              <w:bottom w:val="single" w:sz="6" w:space="0" w:color="3A73AE"/>
              <w:right w:val="single" w:sz="6" w:space="0" w:color="3A73AE"/>
            </w:tcBorders>
            <w:shd w:val="clear" w:color="auto" w:fill="FFFFFF"/>
            <w:vAlign w:val="center"/>
          </w:tcPr>
          <w:p w14:paraId="1A7FAB89" w14:textId="77777777" w:rsidR="00CE52CE" w:rsidRPr="00136D12" w:rsidRDefault="00CE52CE" w:rsidP="00F41D49">
            <w:pPr>
              <w:rPr>
                <w:rFonts w:cstheme="minorHAnsi"/>
                <w:sz w:val="16"/>
                <w:szCs w:val="16"/>
              </w:rPr>
            </w:pPr>
            <w:r w:rsidRPr="00136D12">
              <w:rPr>
                <w:rFonts w:eastAsia="Times New Roman" w:cstheme="minorHAnsi"/>
                <w:sz w:val="16"/>
                <w:szCs w:val="16"/>
                <w:lang w:eastAsia="el-GR"/>
              </w:rPr>
              <w:t xml:space="preserve">Κέρδη / ζημία προ φόρου εισοδήματος, εξαιρουμένων εφάπαξ στοιχείων σύμφωνα με τα στοιχεία #33 </w:t>
            </w:r>
          </w:p>
        </w:tc>
      </w:tr>
      <w:tr w:rsidR="00CE52CE" w:rsidRPr="00253EBA" w14:paraId="705F7288" w14:textId="77777777" w:rsidTr="00F41D49">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14:paraId="0C2734E1" w14:textId="77777777" w:rsidR="00CE52CE" w:rsidRPr="00136D12" w:rsidRDefault="00CE52CE" w:rsidP="00F41D49">
            <w:pPr>
              <w:jc w:val="center"/>
              <w:rPr>
                <w:rFonts w:cstheme="minorHAnsi"/>
                <w:sz w:val="16"/>
                <w:szCs w:val="16"/>
                <w:lang w:val="en-US"/>
              </w:rPr>
            </w:pPr>
            <w:r w:rsidRPr="00136D12">
              <w:rPr>
                <w:rFonts w:cstheme="minorHAnsi"/>
                <w:sz w:val="16"/>
                <w:szCs w:val="16"/>
                <w:lang w:val="en-US"/>
              </w:rPr>
              <w:t>11</w:t>
            </w:r>
          </w:p>
        </w:tc>
        <w:tc>
          <w:tcPr>
            <w:tcW w:w="2398" w:type="dxa"/>
            <w:tcBorders>
              <w:top w:val="nil"/>
              <w:left w:val="single" w:sz="6" w:space="0" w:color="FFC000"/>
              <w:bottom w:val="single" w:sz="6" w:space="0" w:color="3A73AE"/>
              <w:right w:val="single" w:sz="4" w:space="0" w:color="auto"/>
            </w:tcBorders>
            <w:shd w:val="clear" w:color="auto" w:fill="FFFFFF"/>
            <w:vAlign w:val="center"/>
          </w:tcPr>
          <w:p w14:paraId="5724428D" w14:textId="77777777" w:rsidR="00CE52CE" w:rsidRPr="00B27E9B" w:rsidRDefault="00CE52CE" w:rsidP="00F41D49">
            <w:pPr>
              <w:rPr>
                <w:rFonts w:cstheme="minorHAnsi"/>
                <w:b/>
                <w:sz w:val="16"/>
                <w:szCs w:val="16"/>
              </w:rPr>
            </w:pPr>
            <w:r w:rsidRPr="00B27E9B">
              <w:rPr>
                <w:rFonts w:eastAsia="Times New Roman" w:cstheme="minorHAnsi"/>
                <w:b/>
                <w:sz w:val="16"/>
                <w:szCs w:val="16"/>
                <w:lang w:eastAsia="el-GR"/>
              </w:rPr>
              <w:t>Βασικά τραπεζικά έσοδα μείον  Επαναλαμβανόμενα Λειτουργικά Έξοδα </w:t>
            </w:r>
          </w:p>
        </w:tc>
        <w:tc>
          <w:tcPr>
            <w:tcW w:w="5997" w:type="dxa"/>
            <w:tcBorders>
              <w:top w:val="nil"/>
              <w:left w:val="single" w:sz="4" w:space="0" w:color="auto"/>
              <w:bottom w:val="single" w:sz="6" w:space="0" w:color="3A73AE"/>
              <w:right w:val="single" w:sz="6" w:space="0" w:color="3A73AE"/>
            </w:tcBorders>
            <w:shd w:val="clear" w:color="auto" w:fill="auto"/>
            <w:vAlign w:val="center"/>
          </w:tcPr>
          <w:p w14:paraId="2519F883" w14:textId="77777777" w:rsidR="00CE52CE" w:rsidRPr="00136D12" w:rsidRDefault="00CE52CE" w:rsidP="00F41D49">
            <w:pPr>
              <w:rPr>
                <w:rFonts w:cstheme="minorHAnsi"/>
                <w:sz w:val="16"/>
                <w:szCs w:val="16"/>
              </w:rPr>
            </w:pPr>
            <w:r w:rsidRPr="00136D12">
              <w:rPr>
                <w:rFonts w:eastAsia="Times New Roman" w:cstheme="minorHAnsi"/>
                <w:sz w:val="16"/>
                <w:szCs w:val="16"/>
                <w:lang w:eastAsia="el-GR"/>
              </w:rPr>
              <w:t>Καθαρά έσοδα τόκων συν (+) καθαρά έσοδα προμηθειών μείον (-) λειτουργικά έξοδα εξαιρουμένων των μη επαναλαμβανόμενων στοιχείων σύμφωνα με το στοιχείο #33</w:t>
            </w:r>
          </w:p>
        </w:tc>
      </w:tr>
      <w:tr w:rsidR="00CE52CE" w:rsidRPr="00253EBA" w14:paraId="57E20467" w14:textId="77777777" w:rsidTr="00F41D49">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14:paraId="18B9CD69" w14:textId="77777777" w:rsidR="00CE52CE" w:rsidRPr="00136D12" w:rsidRDefault="00CE52CE" w:rsidP="00F41D49">
            <w:pPr>
              <w:jc w:val="center"/>
              <w:rPr>
                <w:rFonts w:cstheme="minorHAnsi"/>
                <w:sz w:val="16"/>
                <w:szCs w:val="16"/>
                <w:lang w:val="en-US"/>
              </w:rPr>
            </w:pPr>
            <w:r w:rsidRPr="00136D12">
              <w:rPr>
                <w:rFonts w:cstheme="minorHAnsi"/>
                <w:sz w:val="16"/>
                <w:szCs w:val="16"/>
                <w:lang w:val="en-US"/>
              </w:rPr>
              <w:t>12</w:t>
            </w:r>
          </w:p>
        </w:tc>
        <w:tc>
          <w:tcPr>
            <w:tcW w:w="2398" w:type="dxa"/>
            <w:tcBorders>
              <w:top w:val="nil"/>
              <w:left w:val="nil"/>
              <w:bottom w:val="single" w:sz="6" w:space="0" w:color="3A73AE"/>
              <w:right w:val="single" w:sz="6" w:space="0" w:color="3A73AE"/>
            </w:tcBorders>
            <w:shd w:val="clear" w:color="auto" w:fill="auto"/>
            <w:vAlign w:val="center"/>
          </w:tcPr>
          <w:p w14:paraId="2B09EE51" w14:textId="77777777" w:rsidR="00CE52CE" w:rsidRPr="00B27E9B" w:rsidRDefault="00CE52CE" w:rsidP="00F41D49">
            <w:pPr>
              <w:rPr>
                <w:rFonts w:cstheme="minorHAnsi"/>
                <w:b/>
                <w:sz w:val="16"/>
                <w:szCs w:val="16"/>
              </w:rPr>
            </w:pPr>
            <w:r w:rsidRPr="00B27E9B">
              <w:rPr>
                <w:rFonts w:eastAsia="Times New Roman" w:cstheme="minorHAnsi"/>
                <w:b/>
                <w:sz w:val="16"/>
                <w:szCs w:val="16"/>
                <w:lang w:eastAsia="el-GR"/>
              </w:rPr>
              <w:t>Δάνεια προ Προβλέψεων </w:t>
            </w:r>
          </w:p>
        </w:tc>
        <w:tc>
          <w:tcPr>
            <w:tcW w:w="5997" w:type="dxa"/>
            <w:tcBorders>
              <w:top w:val="nil"/>
              <w:left w:val="nil"/>
              <w:bottom w:val="single" w:sz="6" w:space="0" w:color="3A73AE"/>
              <w:right w:val="single" w:sz="6" w:space="0" w:color="3A73AE"/>
            </w:tcBorders>
            <w:shd w:val="clear" w:color="auto" w:fill="auto"/>
            <w:vAlign w:val="center"/>
          </w:tcPr>
          <w:p w14:paraId="3708639B" w14:textId="77777777" w:rsidR="00CE52CE" w:rsidRPr="00136D12" w:rsidRDefault="00CE52CE" w:rsidP="00F41D49">
            <w:pPr>
              <w:rPr>
                <w:rFonts w:cstheme="minorHAnsi"/>
                <w:sz w:val="16"/>
                <w:szCs w:val="16"/>
              </w:rPr>
            </w:pPr>
            <w:r w:rsidRPr="00136D12">
              <w:rPr>
                <w:rFonts w:eastAsia="Times New Roman" w:cstheme="minorHAnsi"/>
                <w:sz w:val="16"/>
                <w:szCs w:val="16"/>
                <w:lang w:eastAsia="el-GR"/>
              </w:rPr>
              <w:t>Δάνεια και απαιτήσεις κατά πελατών στο αποσβέσιμο κόστος προ αναμενόμενων πιστωτικών ζημιών </w:t>
            </w:r>
          </w:p>
        </w:tc>
      </w:tr>
      <w:tr w:rsidR="00CE52CE" w:rsidRPr="00253EBA" w14:paraId="058FFB85" w14:textId="77777777" w:rsidTr="00F41D49">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14:paraId="14CFCE1E" w14:textId="77777777" w:rsidR="00CE52CE" w:rsidRPr="00136D12" w:rsidRDefault="00CE52CE" w:rsidP="00F41D49">
            <w:pPr>
              <w:jc w:val="center"/>
              <w:rPr>
                <w:rFonts w:cstheme="minorHAnsi"/>
                <w:sz w:val="16"/>
                <w:szCs w:val="16"/>
                <w:lang w:val="en-US"/>
              </w:rPr>
            </w:pPr>
            <w:r w:rsidRPr="00136D12">
              <w:rPr>
                <w:rFonts w:cstheme="minorHAnsi"/>
                <w:sz w:val="16"/>
                <w:szCs w:val="16"/>
                <w:lang w:val="en-US"/>
              </w:rPr>
              <w:lastRenderedPageBreak/>
              <w:t>13</w:t>
            </w:r>
          </w:p>
        </w:tc>
        <w:tc>
          <w:tcPr>
            <w:tcW w:w="2398" w:type="dxa"/>
            <w:tcBorders>
              <w:top w:val="nil"/>
              <w:left w:val="nil"/>
              <w:bottom w:val="single" w:sz="6" w:space="0" w:color="3A73AE"/>
              <w:right w:val="single" w:sz="6" w:space="0" w:color="3A73AE"/>
            </w:tcBorders>
            <w:shd w:val="clear" w:color="auto" w:fill="auto"/>
          </w:tcPr>
          <w:p w14:paraId="0323218E" w14:textId="77777777" w:rsidR="00CE52CE" w:rsidRPr="00B27E9B" w:rsidRDefault="00CE52CE" w:rsidP="00F41D49">
            <w:pPr>
              <w:rPr>
                <w:rFonts w:cstheme="minorHAnsi"/>
                <w:b/>
                <w:bCs/>
                <w:sz w:val="16"/>
                <w:szCs w:val="16"/>
                <w:lang w:val="en-US"/>
              </w:rPr>
            </w:pPr>
            <w:r w:rsidRPr="00B27E9B">
              <w:rPr>
                <w:rFonts w:eastAsia="Times New Roman" w:cstheme="minorHAnsi"/>
                <w:b/>
                <w:sz w:val="16"/>
                <w:szCs w:val="16"/>
                <w:lang w:eastAsia="el-GR"/>
              </w:rPr>
              <w:t>Δάνεια μετά από Προβλέψεις  </w:t>
            </w:r>
          </w:p>
        </w:tc>
        <w:tc>
          <w:tcPr>
            <w:tcW w:w="5997" w:type="dxa"/>
            <w:tcBorders>
              <w:top w:val="nil"/>
              <w:left w:val="nil"/>
              <w:bottom w:val="single" w:sz="6" w:space="0" w:color="3A73AE"/>
              <w:right w:val="single" w:sz="6" w:space="0" w:color="3A73AE"/>
            </w:tcBorders>
            <w:shd w:val="clear" w:color="auto" w:fill="auto"/>
          </w:tcPr>
          <w:p w14:paraId="75CAF117" w14:textId="77777777" w:rsidR="00CE52CE" w:rsidRPr="00136D12" w:rsidRDefault="00CE52CE" w:rsidP="00F41D49">
            <w:pPr>
              <w:rPr>
                <w:rFonts w:cstheme="minorHAnsi"/>
                <w:sz w:val="16"/>
                <w:szCs w:val="16"/>
              </w:rPr>
            </w:pPr>
            <w:r w:rsidRPr="00136D12">
              <w:rPr>
                <w:rFonts w:eastAsia="Times New Roman" w:cstheme="minorHAnsi"/>
                <w:sz w:val="16"/>
                <w:szCs w:val="16"/>
                <w:lang w:eastAsia="el-GR"/>
              </w:rPr>
              <w:t>Δάνεια μετά από προβλέψεις στο αποσβέσιμο κόστος  </w:t>
            </w:r>
          </w:p>
        </w:tc>
      </w:tr>
      <w:tr w:rsidR="00CE52CE" w:rsidRPr="00253EBA" w14:paraId="4AB2FB82" w14:textId="77777777" w:rsidTr="00F41D49">
        <w:trPr>
          <w:trHeight w:val="326"/>
        </w:trPr>
        <w:tc>
          <w:tcPr>
            <w:tcW w:w="399" w:type="dxa"/>
            <w:tcBorders>
              <w:top w:val="nil"/>
              <w:left w:val="single" w:sz="6" w:space="0" w:color="3A73AE"/>
              <w:bottom w:val="single" w:sz="6" w:space="0" w:color="3A73AE"/>
              <w:right w:val="single" w:sz="6" w:space="0" w:color="3A73AE"/>
            </w:tcBorders>
            <w:shd w:val="clear" w:color="auto" w:fill="auto"/>
            <w:vAlign w:val="center"/>
          </w:tcPr>
          <w:p w14:paraId="7FB0C09B" w14:textId="77777777" w:rsidR="00CE52CE" w:rsidRPr="00136D12" w:rsidRDefault="00CE52CE" w:rsidP="00F41D49">
            <w:pPr>
              <w:jc w:val="center"/>
              <w:rPr>
                <w:rFonts w:cstheme="minorHAnsi"/>
                <w:sz w:val="16"/>
                <w:szCs w:val="16"/>
                <w:lang w:val="en-US"/>
              </w:rPr>
            </w:pPr>
            <w:r w:rsidRPr="00136D12">
              <w:rPr>
                <w:rFonts w:cstheme="minorHAnsi"/>
                <w:sz w:val="16"/>
                <w:szCs w:val="16"/>
                <w:lang w:val="en-US"/>
              </w:rPr>
              <w:t>14</w:t>
            </w:r>
          </w:p>
        </w:tc>
        <w:tc>
          <w:tcPr>
            <w:tcW w:w="2398" w:type="dxa"/>
            <w:tcBorders>
              <w:top w:val="nil"/>
              <w:left w:val="nil"/>
              <w:bottom w:val="single" w:sz="6" w:space="0" w:color="3A73AE"/>
              <w:right w:val="single" w:sz="6" w:space="0" w:color="3A73AE"/>
            </w:tcBorders>
            <w:shd w:val="clear" w:color="auto" w:fill="auto"/>
            <w:vAlign w:val="center"/>
          </w:tcPr>
          <w:p w14:paraId="3AD9E95A" w14:textId="77777777" w:rsidR="00CE52CE" w:rsidRPr="00B27E9B" w:rsidRDefault="00CE52CE" w:rsidP="00F41D49">
            <w:pPr>
              <w:rPr>
                <w:rFonts w:cstheme="minorHAnsi"/>
                <w:b/>
                <w:sz w:val="16"/>
                <w:szCs w:val="16"/>
              </w:rPr>
            </w:pPr>
            <w:r w:rsidRPr="00B27E9B">
              <w:rPr>
                <w:rFonts w:eastAsia="Times New Roman" w:cstheme="minorHAnsi"/>
                <w:b/>
                <w:sz w:val="16"/>
                <w:szCs w:val="16"/>
                <w:lang w:eastAsia="el-GR"/>
              </w:rPr>
              <w:t>Δείκτης δανείων προς καταθέσεις </w:t>
            </w:r>
          </w:p>
        </w:tc>
        <w:tc>
          <w:tcPr>
            <w:tcW w:w="5997" w:type="dxa"/>
            <w:tcBorders>
              <w:top w:val="nil"/>
              <w:left w:val="nil"/>
              <w:bottom w:val="single" w:sz="6" w:space="0" w:color="3A73AE"/>
              <w:right w:val="single" w:sz="6" w:space="0" w:color="3A73AE"/>
            </w:tcBorders>
            <w:shd w:val="clear" w:color="auto" w:fill="auto"/>
            <w:vAlign w:val="center"/>
          </w:tcPr>
          <w:p w14:paraId="54DA0307" w14:textId="77777777" w:rsidR="00CE52CE" w:rsidRPr="00136D12" w:rsidRDefault="00CE52CE" w:rsidP="00F41D49">
            <w:pPr>
              <w:rPr>
                <w:rFonts w:cstheme="minorHAnsi"/>
                <w:sz w:val="16"/>
                <w:szCs w:val="16"/>
              </w:rPr>
            </w:pPr>
            <w:r w:rsidRPr="00136D12">
              <w:rPr>
                <w:rFonts w:eastAsia="Times New Roman" w:cstheme="minorHAnsi"/>
                <w:sz w:val="16"/>
                <w:szCs w:val="16"/>
                <w:lang w:eastAsia="el-GR"/>
              </w:rPr>
              <w:t>Δάνεια μετά από προβλέψεις προς (/) Καταθέσεις   </w:t>
            </w:r>
          </w:p>
        </w:tc>
      </w:tr>
      <w:tr w:rsidR="00CE52CE" w:rsidRPr="00253EBA" w14:paraId="07F2917C" w14:textId="77777777" w:rsidTr="00F41D49">
        <w:trPr>
          <w:trHeight w:val="570"/>
        </w:trPr>
        <w:tc>
          <w:tcPr>
            <w:tcW w:w="399" w:type="dxa"/>
            <w:tcBorders>
              <w:top w:val="nil"/>
              <w:left w:val="single" w:sz="6" w:space="0" w:color="3A73AE"/>
              <w:bottom w:val="single" w:sz="6" w:space="0" w:color="3A73AE"/>
              <w:right w:val="single" w:sz="6" w:space="0" w:color="3A73AE"/>
            </w:tcBorders>
            <w:shd w:val="clear" w:color="auto" w:fill="auto"/>
            <w:vAlign w:val="center"/>
          </w:tcPr>
          <w:p w14:paraId="4F678D82" w14:textId="77777777" w:rsidR="00CE52CE" w:rsidRPr="00D60852" w:rsidRDefault="00CE52CE" w:rsidP="00F41D49">
            <w:pPr>
              <w:jc w:val="center"/>
              <w:rPr>
                <w:rFonts w:cstheme="minorHAnsi"/>
                <w:sz w:val="16"/>
                <w:szCs w:val="16"/>
                <w:lang w:val="en-US"/>
              </w:rPr>
            </w:pPr>
            <w:r w:rsidRPr="00253EBA">
              <w:rPr>
                <w:rFonts w:cstheme="minorHAnsi"/>
                <w:sz w:val="16"/>
                <w:szCs w:val="16"/>
                <w:lang w:val="en-US"/>
              </w:rPr>
              <w:t>1</w:t>
            </w:r>
            <w:r>
              <w:rPr>
                <w:rFonts w:cstheme="minorHAnsi"/>
                <w:sz w:val="16"/>
                <w:szCs w:val="16"/>
                <w:lang w:val="en-US"/>
              </w:rPr>
              <w:t>5</w:t>
            </w:r>
          </w:p>
        </w:tc>
        <w:tc>
          <w:tcPr>
            <w:tcW w:w="2398" w:type="dxa"/>
            <w:tcBorders>
              <w:top w:val="nil"/>
              <w:left w:val="nil"/>
              <w:bottom w:val="single" w:sz="6" w:space="0" w:color="3A73AE"/>
              <w:right w:val="single" w:sz="6" w:space="0" w:color="3A73AE"/>
            </w:tcBorders>
            <w:shd w:val="clear" w:color="auto" w:fill="auto"/>
            <w:vAlign w:val="center"/>
          </w:tcPr>
          <w:p w14:paraId="52AC818D" w14:textId="77777777" w:rsidR="00CE52CE" w:rsidRPr="00B27E9B" w:rsidRDefault="00CE52CE" w:rsidP="00F41D49">
            <w:pPr>
              <w:rPr>
                <w:rFonts w:cstheme="minorHAnsi"/>
                <w:b/>
                <w:sz w:val="16"/>
                <w:szCs w:val="16"/>
              </w:rPr>
            </w:pPr>
            <w:r w:rsidRPr="00B27E9B">
              <w:rPr>
                <w:rFonts w:eastAsia="Times New Roman" w:cstheme="minorHAnsi"/>
                <w:b/>
                <w:sz w:val="16"/>
                <w:szCs w:val="16"/>
                <w:lang w:eastAsia="el-GR"/>
              </w:rPr>
              <w:t>Δείκτης Κάλυψης ΜΕΑ από αναμενόμενες πιστωτικές ζημίες (σωρευτικές προβλέψεις)</w:t>
            </w:r>
          </w:p>
        </w:tc>
        <w:tc>
          <w:tcPr>
            <w:tcW w:w="5997" w:type="dxa"/>
            <w:tcBorders>
              <w:top w:val="nil"/>
              <w:left w:val="nil"/>
              <w:bottom w:val="single" w:sz="6" w:space="0" w:color="3A73AE"/>
              <w:right w:val="single" w:sz="6" w:space="0" w:color="3A73AE"/>
            </w:tcBorders>
            <w:shd w:val="clear" w:color="auto" w:fill="FFFFFF"/>
            <w:vAlign w:val="center"/>
          </w:tcPr>
          <w:p w14:paraId="3EF2E972" w14:textId="77777777" w:rsidR="00CE52CE" w:rsidRPr="00136D12" w:rsidRDefault="00CE52CE" w:rsidP="00F41D49">
            <w:pPr>
              <w:rPr>
                <w:rFonts w:cstheme="minorHAnsi"/>
                <w:sz w:val="16"/>
                <w:szCs w:val="16"/>
              </w:rPr>
            </w:pPr>
            <w:r w:rsidRPr="00136D12">
              <w:rPr>
                <w:rFonts w:eastAsia="Times New Roman" w:cstheme="minorHAnsi"/>
                <w:sz w:val="16"/>
                <w:szCs w:val="16"/>
                <w:lang w:eastAsia="el-GR"/>
              </w:rPr>
              <w:t>Αναμενόμενες πιστωτικές ζημιές προς (/) ΜΕΑ </w:t>
            </w:r>
          </w:p>
        </w:tc>
      </w:tr>
      <w:tr w:rsidR="00CE52CE" w:rsidRPr="00253EBA" w14:paraId="02665E1E" w14:textId="77777777" w:rsidTr="00F41D49">
        <w:trPr>
          <w:trHeight w:val="315"/>
        </w:trPr>
        <w:tc>
          <w:tcPr>
            <w:tcW w:w="399" w:type="dxa"/>
            <w:tcBorders>
              <w:top w:val="nil"/>
              <w:left w:val="single" w:sz="6" w:space="0" w:color="3A73AE"/>
              <w:bottom w:val="single" w:sz="6" w:space="0" w:color="3A73AE"/>
              <w:right w:val="single" w:sz="6" w:space="0" w:color="3A73AE"/>
            </w:tcBorders>
            <w:shd w:val="clear" w:color="auto" w:fill="auto"/>
            <w:vAlign w:val="center"/>
          </w:tcPr>
          <w:p w14:paraId="7FC3F811" w14:textId="77777777" w:rsidR="00CE52CE" w:rsidRPr="00D60852" w:rsidRDefault="00CE52CE" w:rsidP="00F41D49">
            <w:pPr>
              <w:jc w:val="center"/>
              <w:rPr>
                <w:rFonts w:cstheme="minorHAnsi"/>
                <w:sz w:val="16"/>
                <w:szCs w:val="16"/>
                <w:lang w:val="en-US"/>
              </w:rPr>
            </w:pPr>
            <w:r w:rsidRPr="00253EBA">
              <w:rPr>
                <w:rFonts w:cstheme="minorHAnsi"/>
                <w:sz w:val="16"/>
                <w:szCs w:val="16"/>
              </w:rPr>
              <w:t>1</w:t>
            </w:r>
            <w:r>
              <w:rPr>
                <w:rFonts w:cstheme="minorHAnsi"/>
                <w:sz w:val="16"/>
                <w:szCs w:val="16"/>
                <w:lang w:val="en-US"/>
              </w:rPr>
              <w:t>6</w:t>
            </w:r>
          </w:p>
        </w:tc>
        <w:tc>
          <w:tcPr>
            <w:tcW w:w="2398" w:type="dxa"/>
            <w:tcBorders>
              <w:top w:val="nil"/>
              <w:left w:val="nil"/>
              <w:bottom w:val="single" w:sz="6" w:space="0" w:color="3A73AE"/>
              <w:right w:val="single" w:sz="6" w:space="0" w:color="3A73AE"/>
            </w:tcBorders>
            <w:shd w:val="clear" w:color="auto" w:fill="auto"/>
            <w:vAlign w:val="center"/>
          </w:tcPr>
          <w:p w14:paraId="1C10A2F5" w14:textId="77777777" w:rsidR="00CE52CE" w:rsidRPr="00B27E9B" w:rsidRDefault="00CE52CE" w:rsidP="00F41D49">
            <w:pPr>
              <w:rPr>
                <w:rFonts w:cstheme="minorHAnsi"/>
                <w:b/>
                <w:sz w:val="16"/>
                <w:szCs w:val="16"/>
              </w:rPr>
            </w:pPr>
            <w:r w:rsidRPr="00B27E9B">
              <w:rPr>
                <w:rFonts w:eastAsia="Times New Roman" w:cstheme="minorHAnsi"/>
                <w:b/>
                <w:sz w:val="16"/>
                <w:szCs w:val="16"/>
                <w:lang w:eastAsia="el-GR"/>
              </w:rPr>
              <w:t>Δείκτης κάλυψης ρευστότητας (LCR) </w:t>
            </w:r>
          </w:p>
        </w:tc>
        <w:tc>
          <w:tcPr>
            <w:tcW w:w="5997" w:type="dxa"/>
            <w:tcBorders>
              <w:top w:val="nil"/>
              <w:left w:val="nil"/>
              <w:bottom w:val="single" w:sz="6" w:space="0" w:color="3A73AE"/>
              <w:right w:val="single" w:sz="6" w:space="0" w:color="3A73AE"/>
            </w:tcBorders>
            <w:shd w:val="clear" w:color="auto" w:fill="auto"/>
          </w:tcPr>
          <w:p w14:paraId="4548515E" w14:textId="77777777" w:rsidR="00CE52CE" w:rsidRPr="00136D12" w:rsidRDefault="00CE52CE" w:rsidP="00F41D49">
            <w:pPr>
              <w:rPr>
                <w:rFonts w:cstheme="minorHAnsi"/>
                <w:sz w:val="16"/>
                <w:szCs w:val="16"/>
              </w:rPr>
            </w:pPr>
            <w:r w:rsidRPr="00136D12">
              <w:rPr>
                <w:rFonts w:eastAsia="Times New Roman" w:cstheme="minorHAnsi"/>
                <w:sz w:val="16"/>
                <w:szCs w:val="16"/>
                <w:lang w:eastAsia="el-GR"/>
              </w:rPr>
              <w:t>Ο δείκτης κάλυψης ρευστότητας είναι το ποσό του επαρκούς αποθέματος ασφαλείας ρευστότητας ώστε μια τράπεζα να επιβιώσει από ένα σημαντικό σενάριο ακραίων καταστάσεων που διαρκεί έναν μήνα </w:t>
            </w:r>
          </w:p>
        </w:tc>
      </w:tr>
      <w:tr w:rsidR="00CE52CE" w:rsidRPr="00253EBA" w14:paraId="095BE315" w14:textId="77777777" w:rsidTr="00F41D49">
        <w:trPr>
          <w:trHeight w:val="405"/>
        </w:trPr>
        <w:tc>
          <w:tcPr>
            <w:tcW w:w="399" w:type="dxa"/>
            <w:tcBorders>
              <w:top w:val="nil"/>
              <w:left w:val="single" w:sz="6" w:space="0" w:color="3A73AE"/>
              <w:bottom w:val="single" w:sz="6" w:space="0" w:color="3A73AE"/>
              <w:right w:val="single" w:sz="6" w:space="0" w:color="3A73AE"/>
            </w:tcBorders>
            <w:shd w:val="clear" w:color="auto" w:fill="auto"/>
            <w:vAlign w:val="center"/>
            <w:hideMark/>
          </w:tcPr>
          <w:p w14:paraId="2FCEBF42" w14:textId="192E35D3" w:rsidR="00CE52CE" w:rsidRPr="00D60852" w:rsidRDefault="00CE52CE" w:rsidP="00ED3CAF">
            <w:pPr>
              <w:jc w:val="center"/>
              <w:rPr>
                <w:rFonts w:cstheme="minorHAnsi"/>
                <w:sz w:val="16"/>
                <w:szCs w:val="16"/>
                <w:lang w:val="en-US"/>
              </w:rPr>
            </w:pPr>
            <w:r w:rsidRPr="00253EBA">
              <w:rPr>
                <w:rFonts w:cstheme="minorHAnsi"/>
                <w:sz w:val="16"/>
                <w:szCs w:val="16"/>
                <w:lang w:val="en-US"/>
              </w:rPr>
              <w:t>1</w:t>
            </w:r>
            <w:r w:rsidR="00ED3CAF">
              <w:rPr>
                <w:rFonts w:cstheme="minorHAnsi"/>
                <w:sz w:val="16"/>
                <w:szCs w:val="16"/>
              </w:rPr>
              <w:t>7</w:t>
            </w:r>
          </w:p>
        </w:tc>
        <w:tc>
          <w:tcPr>
            <w:tcW w:w="2398" w:type="dxa"/>
            <w:tcBorders>
              <w:top w:val="nil"/>
              <w:left w:val="nil"/>
              <w:bottom w:val="single" w:sz="6" w:space="0" w:color="3A73AE"/>
              <w:right w:val="single" w:sz="6" w:space="0" w:color="3A73AE"/>
            </w:tcBorders>
            <w:shd w:val="clear" w:color="auto" w:fill="auto"/>
            <w:vAlign w:val="center"/>
          </w:tcPr>
          <w:p w14:paraId="298C1D86" w14:textId="77777777" w:rsidR="00CE52CE" w:rsidRPr="00B27E9B" w:rsidRDefault="00CE52CE" w:rsidP="00F41D49">
            <w:pPr>
              <w:rPr>
                <w:rFonts w:cstheme="minorHAnsi"/>
                <w:b/>
                <w:sz w:val="16"/>
                <w:szCs w:val="16"/>
              </w:rPr>
            </w:pPr>
            <w:r w:rsidRPr="00B27E9B">
              <w:rPr>
                <w:rFonts w:eastAsia="Times New Roman" w:cstheme="minorHAnsi"/>
                <w:b/>
                <w:sz w:val="16"/>
                <w:szCs w:val="16"/>
                <w:lang w:eastAsia="el-GR"/>
              </w:rPr>
              <w:t>Δείκτης κόστους προς έσοδα (Επαναλαμβανόμενος) </w:t>
            </w:r>
          </w:p>
        </w:tc>
        <w:tc>
          <w:tcPr>
            <w:tcW w:w="5997" w:type="dxa"/>
            <w:tcBorders>
              <w:top w:val="nil"/>
              <w:left w:val="nil"/>
              <w:bottom w:val="single" w:sz="6" w:space="0" w:color="3A73AE"/>
              <w:right w:val="single" w:sz="6" w:space="0" w:color="3A73AE"/>
            </w:tcBorders>
            <w:shd w:val="clear" w:color="auto" w:fill="auto"/>
            <w:vAlign w:val="center"/>
          </w:tcPr>
          <w:p w14:paraId="7F55604A" w14:textId="0D328A5D" w:rsidR="00CE52CE" w:rsidRPr="00136D12" w:rsidRDefault="00CE52CE" w:rsidP="00ED3CAF">
            <w:pPr>
              <w:rPr>
                <w:rFonts w:cstheme="minorHAnsi"/>
                <w:sz w:val="16"/>
                <w:szCs w:val="16"/>
              </w:rPr>
            </w:pPr>
            <w:r w:rsidRPr="00136D12">
              <w:rPr>
                <w:rFonts w:eastAsia="Times New Roman" w:cstheme="minorHAnsi"/>
                <w:sz w:val="16"/>
                <w:szCs w:val="16"/>
                <w:lang w:eastAsia="el-GR"/>
              </w:rPr>
              <w:t>Σύνολο λειτουργικών εξόδων πριν από προβλέψεις προς (/) Συνολικά καθαρά έσοδα, εξαιρουμένων των εφάπαξ στοιχείων που σχετίζονται με την αντίστοιχη περίοδο και σ</w:t>
            </w:r>
            <w:r w:rsidR="00ED3CAF">
              <w:rPr>
                <w:rFonts w:eastAsia="Times New Roman" w:cstheme="minorHAnsi"/>
                <w:sz w:val="16"/>
                <w:szCs w:val="16"/>
                <w:lang w:eastAsia="el-GR"/>
              </w:rPr>
              <w:t>ε συγκρίσιμη βάση, σύμφωνα με το</w:t>
            </w:r>
            <w:r w:rsidRPr="00136D12">
              <w:rPr>
                <w:rFonts w:eastAsia="Times New Roman" w:cstheme="minorHAnsi"/>
                <w:sz w:val="16"/>
                <w:szCs w:val="16"/>
                <w:lang w:eastAsia="el-GR"/>
              </w:rPr>
              <w:t xml:space="preserve"> στοιχεί</w:t>
            </w:r>
            <w:r w:rsidR="00ED3CAF">
              <w:rPr>
                <w:rFonts w:eastAsia="Times New Roman" w:cstheme="minorHAnsi"/>
                <w:sz w:val="16"/>
                <w:szCs w:val="16"/>
                <w:lang w:eastAsia="el-GR"/>
              </w:rPr>
              <w:t>ο</w:t>
            </w:r>
            <w:r w:rsidRPr="00136D12">
              <w:rPr>
                <w:rFonts w:eastAsia="Times New Roman" w:cstheme="minorHAnsi"/>
                <w:sz w:val="16"/>
                <w:szCs w:val="16"/>
                <w:lang w:eastAsia="el-GR"/>
              </w:rPr>
              <w:t xml:space="preserve"> #33 </w:t>
            </w:r>
          </w:p>
        </w:tc>
      </w:tr>
      <w:tr w:rsidR="00CE52CE" w:rsidRPr="00253EBA" w14:paraId="58D24223" w14:textId="77777777" w:rsidTr="00F41D49">
        <w:trPr>
          <w:trHeight w:val="300"/>
        </w:trPr>
        <w:tc>
          <w:tcPr>
            <w:tcW w:w="399" w:type="dxa"/>
            <w:tcBorders>
              <w:top w:val="nil"/>
              <w:left w:val="single" w:sz="6" w:space="0" w:color="3A73AE"/>
              <w:bottom w:val="single" w:sz="6" w:space="0" w:color="3A73AE"/>
              <w:right w:val="single" w:sz="6" w:space="0" w:color="3A73AE"/>
            </w:tcBorders>
            <w:shd w:val="clear" w:color="auto" w:fill="auto"/>
            <w:vAlign w:val="center"/>
            <w:hideMark/>
          </w:tcPr>
          <w:p w14:paraId="25235B32" w14:textId="0EA0E9B7" w:rsidR="00CE52CE" w:rsidRPr="00D60852" w:rsidRDefault="00CE52CE" w:rsidP="00F41D49">
            <w:pPr>
              <w:jc w:val="center"/>
              <w:rPr>
                <w:rFonts w:cstheme="minorHAnsi"/>
                <w:sz w:val="16"/>
                <w:szCs w:val="16"/>
                <w:lang w:val="en-US"/>
              </w:rPr>
            </w:pPr>
            <w:r w:rsidRPr="00253EBA">
              <w:rPr>
                <w:rFonts w:cstheme="minorHAnsi"/>
                <w:sz w:val="16"/>
                <w:szCs w:val="16"/>
                <w:lang w:val="en-US"/>
              </w:rPr>
              <w:t>1</w:t>
            </w:r>
            <w:r w:rsidR="00EA6E38">
              <w:rPr>
                <w:rFonts w:cstheme="minorHAnsi"/>
                <w:sz w:val="16"/>
                <w:szCs w:val="16"/>
                <w:lang w:val="en-US"/>
              </w:rPr>
              <w:t>8</w:t>
            </w:r>
          </w:p>
        </w:tc>
        <w:tc>
          <w:tcPr>
            <w:tcW w:w="2398" w:type="dxa"/>
            <w:tcBorders>
              <w:top w:val="nil"/>
              <w:left w:val="nil"/>
              <w:bottom w:val="single" w:sz="6" w:space="0" w:color="3A73AE"/>
              <w:right w:val="single" w:sz="6" w:space="0" w:color="3A73AE"/>
            </w:tcBorders>
            <w:shd w:val="clear" w:color="auto" w:fill="auto"/>
            <w:vAlign w:val="center"/>
          </w:tcPr>
          <w:p w14:paraId="586E5A57" w14:textId="77777777" w:rsidR="00CE52CE" w:rsidRPr="00B27E9B" w:rsidRDefault="00CE52CE" w:rsidP="00F41D49">
            <w:pPr>
              <w:rPr>
                <w:rFonts w:cstheme="minorHAnsi"/>
                <w:b/>
                <w:sz w:val="16"/>
                <w:szCs w:val="16"/>
                <w:lang w:val="en-US"/>
              </w:rPr>
            </w:pPr>
            <w:r w:rsidRPr="00B27E9B">
              <w:rPr>
                <w:rFonts w:eastAsia="Times New Roman" w:cstheme="minorHAnsi"/>
                <w:b/>
                <w:sz w:val="16"/>
                <w:szCs w:val="16"/>
                <w:lang w:eastAsia="el-GR"/>
              </w:rPr>
              <w:t>Δείκτης ΜΕΑ </w:t>
            </w:r>
          </w:p>
        </w:tc>
        <w:tc>
          <w:tcPr>
            <w:tcW w:w="5997" w:type="dxa"/>
            <w:tcBorders>
              <w:top w:val="nil"/>
              <w:left w:val="nil"/>
              <w:bottom w:val="single" w:sz="6" w:space="0" w:color="3A73AE"/>
              <w:right w:val="single" w:sz="6" w:space="0" w:color="3A73AE"/>
            </w:tcBorders>
            <w:shd w:val="clear" w:color="auto" w:fill="auto"/>
            <w:vAlign w:val="center"/>
          </w:tcPr>
          <w:p w14:paraId="1C8C98E5" w14:textId="77777777" w:rsidR="00CE52CE" w:rsidRPr="00136D12" w:rsidRDefault="00CE52CE" w:rsidP="00F41D49">
            <w:pPr>
              <w:rPr>
                <w:rFonts w:cstheme="minorHAnsi"/>
                <w:sz w:val="16"/>
                <w:szCs w:val="16"/>
              </w:rPr>
            </w:pPr>
            <w:r w:rsidRPr="00136D12">
              <w:rPr>
                <w:rFonts w:eastAsia="Times New Roman" w:cstheme="minorHAnsi"/>
                <w:sz w:val="16"/>
                <w:szCs w:val="16"/>
                <w:lang w:eastAsia="el-GR"/>
              </w:rPr>
              <w:t>Μη εξυπηρετούμενα ανοίγματα προς (/) Δάνεια προ προβλέψεων   </w:t>
            </w:r>
          </w:p>
        </w:tc>
      </w:tr>
      <w:tr w:rsidR="00EA6E38" w:rsidRPr="00253EBA" w14:paraId="7EEF9722" w14:textId="77777777" w:rsidTr="00F41D49">
        <w:trPr>
          <w:trHeight w:val="300"/>
        </w:trPr>
        <w:tc>
          <w:tcPr>
            <w:tcW w:w="399" w:type="dxa"/>
            <w:tcBorders>
              <w:top w:val="nil"/>
              <w:left w:val="single" w:sz="6" w:space="0" w:color="3A73AE"/>
              <w:bottom w:val="single" w:sz="6" w:space="0" w:color="3A73AE"/>
              <w:right w:val="single" w:sz="6" w:space="0" w:color="3A73AE"/>
            </w:tcBorders>
            <w:shd w:val="clear" w:color="auto" w:fill="auto"/>
            <w:vAlign w:val="center"/>
          </w:tcPr>
          <w:p w14:paraId="5352CDA8" w14:textId="1A4CFD3C" w:rsidR="00EA6E38" w:rsidRPr="00253EBA" w:rsidRDefault="00EA6E38" w:rsidP="00EA6E38">
            <w:pPr>
              <w:jc w:val="center"/>
              <w:rPr>
                <w:rFonts w:cstheme="minorHAnsi"/>
                <w:sz w:val="16"/>
                <w:szCs w:val="16"/>
                <w:lang w:val="en-US"/>
              </w:rPr>
            </w:pPr>
            <w:r>
              <w:rPr>
                <w:sz w:val="16"/>
                <w:szCs w:val="16"/>
              </w:rPr>
              <w:t>19</w:t>
            </w:r>
          </w:p>
        </w:tc>
        <w:tc>
          <w:tcPr>
            <w:tcW w:w="2398" w:type="dxa"/>
            <w:tcBorders>
              <w:top w:val="nil"/>
              <w:left w:val="nil"/>
              <w:bottom w:val="single" w:sz="6" w:space="0" w:color="3A73AE"/>
              <w:right w:val="single" w:sz="6" w:space="0" w:color="3A73AE"/>
            </w:tcBorders>
            <w:shd w:val="clear" w:color="auto" w:fill="auto"/>
            <w:vAlign w:val="center"/>
          </w:tcPr>
          <w:p w14:paraId="2AA87DB3" w14:textId="169B9C86" w:rsidR="00EA6E38" w:rsidRPr="00B27E9B" w:rsidRDefault="00EA6E38" w:rsidP="00EA6E38">
            <w:pPr>
              <w:rPr>
                <w:rFonts w:eastAsia="Times New Roman" w:cstheme="minorHAnsi"/>
                <w:b/>
                <w:sz w:val="16"/>
                <w:szCs w:val="16"/>
                <w:lang w:eastAsia="el-GR"/>
              </w:rPr>
            </w:pPr>
            <w:r>
              <w:rPr>
                <w:b/>
                <w:bCs/>
                <w:sz w:val="16"/>
                <w:szCs w:val="16"/>
                <w:lang w:val="en-US"/>
              </w:rPr>
              <w:t>Ε</w:t>
            </w:r>
            <w:r>
              <w:rPr>
                <w:b/>
                <w:bCs/>
                <w:sz w:val="16"/>
                <w:szCs w:val="16"/>
              </w:rPr>
              <w:t>νσώματα Ίδια Κεφάλαια</w:t>
            </w:r>
          </w:p>
        </w:tc>
        <w:tc>
          <w:tcPr>
            <w:tcW w:w="5997" w:type="dxa"/>
            <w:tcBorders>
              <w:top w:val="nil"/>
              <w:left w:val="nil"/>
              <w:bottom w:val="single" w:sz="6" w:space="0" w:color="3A73AE"/>
              <w:right w:val="single" w:sz="6" w:space="0" w:color="3A73AE"/>
            </w:tcBorders>
            <w:shd w:val="clear" w:color="auto" w:fill="auto"/>
            <w:vAlign w:val="center"/>
          </w:tcPr>
          <w:p w14:paraId="6AD07D38" w14:textId="77777777" w:rsidR="00EA6E38" w:rsidRPr="006B64E8" w:rsidRDefault="00EA6E38" w:rsidP="00EA6E38">
            <w:pPr>
              <w:rPr>
                <w:vanish/>
                <w:sz w:val="16"/>
                <w:szCs w:val="16"/>
              </w:rPr>
            </w:pPr>
            <w:r w:rsidRPr="006B64E8">
              <w:rPr>
                <w:sz w:val="16"/>
                <w:szCs w:val="16"/>
              </w:rPr>
              <w:t>Συνολικά ίδια κεφάλαια</w:t>
            </w:r>
            <w:r>
              <w:rPr>
                <w:sz w:val="16"/>
                <w:szCs w:val="16"/>
              </w:rPr>
              <w:t xml:space="preserve"> μείον την ονομαστική αξία των C</w:t>
            </w:r>
            <w:r w:rsidRPr="006B64E8">
              <w:rPr>
                <w:sz w:val="16"/>
                <w:szCs w:val="16"/>
              </w:rPr>
              <w:t>o</w:t>
            </w:r>
            <w:r>
              <w:rPr>
                <w:sz w:val="16"/>
                <w:szCs w:val="16"/>
                <w:lang w:val="en-US"/>
              </w:rPr>
              <w:t>C</w:t>
            </w:r>
            <w:r w:rsidRPr="006B64E8">
              <w:rPr>
                <w:sz w:val="16"/>
                <w:szCs w:val="16"/>
              </w:rPr>
              <w:t>o μείον τα άυλα περιουσιακά στοιχεία.</w:t>
            </w:r>
            <w:r>
              <w:rPr>
                <w:sz w:val="16"/>
                <w:szCs w:val="16"/>
              </w:rPr>
              <w:t xml:space="preserve"> </w:t>
            </w:r>
            <w:r w:rsidRPr="001E5427">
              <w:rPr>
                <w:sz w:val="16"/>
                <w:szCs w:val="16"/>
              </w:rPr>
              <w:t>Μετά το 2020 και τη μετατροπή των CoCo, τα άυλα περιουσιακά στοιχεία και το ΑΤ1 εξαιρούνται από την ενσώματη λογιστική αξία</w:t>
            </w:r>
            <w:r>
              <w:rPr>
                <w:sz w:val="16"/>
                <w:szCs w:val="16"/>
              </w:rPr>
              <w:t>.</w:t>
            </w:r>
            <w:r w:rsidRPr="001E5427">
              <w:rPr>
                <w:sz w:val="16"/>
                <w:szCs w:val="16"/>
              </w:rPr>
              <w:t xml:space="preserve"> </w:t>
            </w:r>
          </w:p>
          <w:p w14:paraId="1CEB0370" w14:textId="77777777" w:rsidR="00EA6E38" w:rsidRPr="00136D12" w:rsidRDefault="00EA6E38" w:rsidP="00EA6E38">
            <w:pPr>
              <w:rPr>
                <w:rFonts w:eastAsia="Times New Roman" w:cstheme="minorHAnsi"/>
                <w:sz w:val="16"/>
                <w:szCs w:val="16"/>
                <w:lang w:eastAsia="el-GR"/>
              </w:rPr>
            </w:pPr>
          </w:p>
        </w:tc>
      </w:tr>
      <w:tr w:rsidR="00EA6E38" w:rsidRPr="00253EBA" w14:paraId="25265DCB" w14:textId="77777777" w:rsidTr="00F41D49">
        <w:trPr>
          <w:trHeight w:val="300"/>
        </w:trPr>
        <w:tc>
          <w:tcPr>
            <w:tcW w:w="399" w:type="dxa"/>
            <w:tcBorders>
              <w:top w:val="nil"/>
              <w:left w:val="single" w:sz="6" w:space="0" w:color="3A73AE"/>
              <w:bottom w:val="single" w:sz="6" w:space="0" w:color="3A73AE"/>
              <w:right w:val="single" w:sz="6" w:space="0" w:color="3A73AE"/>
            </w:tcBorders>
            <w:shd w:val="clear" w:color="auto" w:fill="auto"/>
            <w:vAlign w:val="center"/>
          </w:tcPr>
          <w:p w14:paraId="0C2A7E01" w14:textId="5B60C48E" w:rsidR="00EA6E38" w:rsidRPr="00253EBA" w:rsidRDefault="00EA6E38" w:rsidP="00EA6E38">
            <w:pPr>
              <w:jc w:val="center"/>
              <w:rPr>
                <w:rFonts w:cstheme="minorHAnsi"/>
                <w:sz w:val="16"/>
                <w:szCs w:val="16"/>
                <w:lang w:val="en-US"/>
              </w:rPr>
            </w:pPr>
            <w:r>
              <w:rPr>
                <w:sz w:val="16"/>
                <w:szCs w:val="16"/>
              </w:rPr>
              <w:t>20</w:t>
            </w:r>
          </w:p>
        </w:tc>
        <w:tc>
          <w:tcPr>
            <w:tcW w:w="2398" w:type="dxa"/>
            <w:tcBorders>
              <w:top w:val="nil"/>
              <w:left w:val="nil"/>
              <w:bottom w:val="single" w:sz="6" w:space="0" w:color="3A73AE"/>
              <w:right w:val="single" w:sz="6" w:space="0" w:color="3A73AE"/>
            </w:tcBorders>
            <w:shd w:val="clear" w:color="auto" w:fill="auto"/>
            <w:vAlign w:val="center"/>
          </w:tcPr>
          <w:p w14:paraId="55309FC3" w14:textId="3BDAFF10" w:rsidR="00EA6E38" w:rsidRPr="00B27E9B" w:rsidRDefault="00EA6E38" w:rsidP="00EA6E38">
            <w:pPr>
              <w:rPr>
                <w:rFonts w:eastAsia="Times New Roman" w:cstheme="minorHAnsi"/>
                <w:b/>
                <w:sz w:val="16"/>
                <w:szCs w:val="16"/>
                <w:lang w:eastAsia="el-GR"/>
              </w:rPr>
            </w:pPr>
            <w:r>
              <w:rPr>
                <w:rFonts w:eastAsia="Times New Roman" w:cstheme="minorHAnsi"/>
                <w:b/>
                <w:sz w:val="16"/>
                <w:szCs w:val="16"/>
                <w:lang w:eastAsia="el-GR"/>
              </w:rPr>
              <w:t>Έντοκα περιουσιακά στοιχεία</w:t>
            </w:r>
            <w:r w:rsidR="00480F22">
              <w:rPr>
                <w:rFonts w:eastAsia="Times New Roman" w:cstheme="minorHAnsi"/>
                <w:b/>
                <w:sz w:val="16"/>
                <w:szCs w:val="16"/>
                <w:lang w:eastAsia="el-GR"/>
              </w:rPr>
              <w:t xml:space="preserve"> ενεργητικού</w:t>
            </w:r>
          </w:p>
        </w:tc>
        <w:tc>
          <w:tcPr>
            <w:tcW w:w="5997" w:type="dxa"/>
            <w:tcBorders>
              <w:top w:val="nil"/>
              <w:left w:val="nil"/>
              <w:bottom w:val="single" w:sz="6" w:space="0" w:color="3A73AE"/>
              <w:right w:val="single" w:sz="6" w:space="0" w:color="3A73AE"/>
            </w:tcBorders>
            <w:shd w:val="clear" w:color="auto" w:fill="auto"/>
            <w:vAlign w:val="center"/>
          </w:tcPr>
          <w:p w14:paraId="456DECE8" w14:textId="730B88C9" w:rsidR="00EA6E38" w:rsidRPr="00136D12" w:rsidRDefault="00EA6E38" w:rsidP="00EA6E38">
            <w:pPr>
              <w:rPr>
                <w:rFonts w:eastAsia="Times New Roman" w:cstheme="minorHAnsi"/>
                <w:sz w:val="16"/>
                <w:szCs w:val="16"/>
                <w:lang w:eastAsia="el-GR"/>
              </w:rPr>
            </w:pPr>
            <w:r w:rsidRPr="00A44FEE">
              <w:rPr>
                <w:rFonts w:eastAsia="Times New Roman" w:cstheme="minorHAnsi"/>
                <w:sz w:val="16"/>
                <w:szCs w:val="16"/>
                <w:lang w:eastAsia="el-GR"/>
              </w:rPr>
              <w:t>Σύνολο ενεργητικού εξαιρουμένων των ιδίων κεφαλαίων και στοιχείων αμοιβαίων κεφαλαίων, συμμετοχών, υπεραξίας και άυλων περιουσιακών στοιχείων, παγίων περιουσιακών στοιχείων, αναβαλλόμενων φορολογικών απαιτήσεων και διακοπεισών δραστηριοτήτων</w:t>
            </w:r>
          </w:p>
        </w:tc>
      </w:tr>
      <w:tr w:rsidR="00EA6E38" w:rsidRPr="00253EBA" w14:paraId="111E0D3E" w14:textId="77777777" w:rsidTr="00F41D49">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hideMark/>
          </w:tcPr>
          <w:p w14:paraId="1540145B" w14:textId="5DEEE03B" w:rsidR="00EA6E38" w:rsidRPr="00D60852" w:rsidRDefault="00EA6E38" w:rsidP="00EA6E38">
            <w:pPr>
              <w:jc w:val="center"/>
              <w:rPr>
                <w:rFonts w:cstheme="minorHAnsi"/>
                <w:sz w:val="16"/>
                <w:szCs w:val="16"/>
                <w:lang w:val="en-US"/>
              </w:rPr>
            </w:pPr>
            <w:r>
              <w:rPr>
                <w:rFonts w:cstheme="minorHAnsi"/>
                <w:sz w:val="16"/>
                <w:szCs w:val="16"/>
                <w:lang w:val="en-US"/>
              </w:rPr>
              <w:t>2</w:t>
            </w:r>
            <w:r>
              <w:rPr>
                <w:rFonts w:cstheme="minorHAnsi"/>
                <w:sz w:val="16"/>
                <w:szCs w:val="16"/>
              </w:rPr>
              <w:t>1</w:t>
            </w:r>
          </w:p>
        </w:tc>
        <w:tc>
          <w:tcPr>
            <w:tcW w:w="2398" w:type="dxa"/>
            <w:tcBorders>
              <w:top w:val="nil"/>
              <w:left w:val="nil"/>
              <w:bottom w:val="single" w:sz="6" w:space="0" w:color="3A73AE"/>
              <w:right w:val="single" w:sz="6" w:space="0" w:color="3A73AE"/>
            </w:tcBorders>
            <w:shd w:val="clear" w:color="auto" w:fill="auto"/>
            <w:vAlign w:val="center"/>
          </w:tcPr>
          <w:p w14:paraId="5659A027" w14:textId="77777777" w:rsidR="00EA6E38" w:rsidRPr="00B27E9B" w:rsidRDefault="00EA6E38" w:rsidP="00EA6E38">
            <w:pPr>
              <w:rPr>
                <w:rFonts w:cstheme="minorHAnsi"/>
                <w:b/>
                <w:sz w:val="16"/>
                <w:szCs w:val="16"/>
              </w:rPr>
            </w:pPr>
            <w:r w:rsidRPr="00B27E9B">
              <w:rPr>
                <w:rFonts w:eastAsia="Times New Roman" w:cstheme="minorHAnsi"/>
                <w:b/>
                <w:sz w:val="16"/>
                <w:szCs w:val="16"/>
                <w:lang w:eastAsia="el-GR"/>
              </w:rPr>
              <w:t>Εξυπηρετούμενα Δάνεια </w:t>
            </w:r>
          </w:p>
        </w:tc>
        <w:tc>
          <w:tcPr>
            <w:tcW w:w="5997" w:type="dxa"/>
            <w:tcBorders>
              <w:top w:val="nil"/>
              <w:left w:val="nil"/>
              <w:bottom w:val="single" w:sz="6" w:space="0" w:color="3A73AE"/>
              <w:right w:val="single" w:sz="6" w:space="0" w:color="3A73AE"/>
            </w:tcBorders>
            <w:shd w:val="clear" w:color="auto" w:fill="auto"/>
            <w:vAlign w:val="center"/>
          </w:tcPr>
          <w:p w14:paraId="4761E1BE" w14:textId="77777777" w:rsidR="00EA6E38" w:rsidRPr="00136D12" w:rsidRDefault="00EA6E38" w:rsidP="00EA6E38">
            <w:pPr>
              <w:rPr>
                <w:rFonts w:cstheme="minorHAnsi"/>
                <w:sz w:val="16"/>
                <w:szCs w:val="16"/>
              </w:rPr>
            </w:pPr>
            <w:r w:rsidRPr="00136D12">
              <w:rPr>
                <w:rFonts w:eastAsia="Times New Roman" w:cstheme="minorHAnsi"/>
                <w:sz w:val="16"/>
                <w:szCs w:val="16"/>
                <w:lang w:eastAsia="el-GR"/>
              </w:rPr>
              <w:t>Δάνεια προ προβλέψεων μείον (-) ΜΕΑ </w:t>
            </w:r>
          </w:p>
        </w:tc>
      </w:tr>
      <w:tr w:rsidR="00EA6E38" w:rsidRPr="00253EBA" w14:paraId="6C63BB35" w14:textId="77777777" w:rsidTr="00F41D49">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hideMark/>
          </w:tcPr>
          <w:p w14:paraId="48EEC77C" w14:textId="358A1441" w:rsidR="00EA6E38" w:rsidRPr="00D60852" w:rsidRDefault="00EA6E38" w:rsidP="00EA6E38">
            <w:pPr>
              <w:jc w:val="center"/>
              <w:rPr>
                <w:rFonts w:cstheme="minorHAnsi"/>
                <w:sz w:val="16"/>
                <w:szCs w:val="16"/>
                <w:lang w:val="en-US"/>
              </w:rPr>
            </w:pPr>
            <w:r w:rsidRPr="00253EBA">
              <w:rPr>
                <w:rFonts w:cstheme="minorHAnsi"/>
                <w:sz w:val="16"/>
                <w:szCs w:val="16"/>
              </w:rPr>
              <w:t>2</w:t>
            </w:r>
            <w:r>
              <w:rPr>
                <w:rFonts w:cstheme="minorHAnsi"/>
                <w:sz w:val="16"/>
                <w:szCs w:val="16"/>
              </w:rPr>
              <w:t>2</w:t>
            </w:r>
          </w:p>
        </w:tc>
        <w:tc>
          <w:tcPr>
            <w:tcW w:w="2398" w:type="dxa"/>
            <w:tcBorders>
              <w:top w:val="nil"/>
              <w:left w:val="nil"/>
              <w:bottom w:val="single" w:sz="6" w:space="0" w:color="3A73AE"/>
              <w:right w:val="single" w:sz="6" w:space="0" w:color="3A73AE"/>
            </w:tcBorders>
            <w:shd w:val="clear" w:color="auto" w:fill="auto"/>
            <w:vAlign w:val="center"/>
          </w:tcPr>
          <w:p w14:paraId="0B67B039" w14:textId="77777777" w:rsidR="00EA6E38" w:rsidRPr="00B27E9B" w:rsidRDefault="00EA6E38" w:rsidP="00EA6E38">
            <w:pPr>
              <w:rPr>
                <w:rFonts w:cstheme="minorHAnsi"/>
                <w:b/>
                <w:sz w:val="16"/>
                <w:szCs w:val="16"/>
              </w:rPr>
            </w:pPr>
            <w:r w:rsidRPr="00B27E9B">
              <w:rPr>
                <w:rFonts w:eastAsia="Times New Roman" w:cstheme="minorHAnsi"/>
                <w:b/>
                <w:sz w:val="16"/>
                <w:szCs w:val="16"/>
                <w:lang w:eastAsia="el-GR"/>
              </w:rPr>
              <w:t>Έσοδα (κέρδη) προ προβλέψεων σε επαναλαμβανόμενη βάση </w:t>
            </w:r>
          </w:p>
        </w:tc>
        <w:tc>
          <w:tcPr>
            <w:tcW w:w="5997" w:type="dxa"/>
            <w:tcBorders>
              <w:top w:val="nil"/>
              <w:left w:val="nil"/>
              <w:bottom w:val="single" w:sz="6" w:space="0" w:color="3A73AE"/>
              <w:right w:val="single" w:sz="6" w:space="0" w:color="3A73AE"/>
            </w:tcBorders>
            <w:shd w:val="clear" w:color="auto" w:fill="FFFFFF"/>
            <w:vAlign w:val="center"/>
          </w:tcPr>
          <w:p w14:paraId="23E03BD2" w14:textId="77777777" w:rsidR="00EA6E38" w:rsidRPr="00136D12" w:rsidRDefault="00EA6E38" w:rsidP="00EA6E38">
            <w:pPr>
              <w:rPr>
                <w:rFonts w:cstheme="minorHAnsi"/>
                <w:sz w:val="16"/>
                <w:szCs w:val="16"/>
              </w:rPr>
            </w:pPr>
            <w:r w:rsidRPr="00136D12">
              <w:rPr>
                <w:rFonts w:eastAsia="Times New Roman" w:cstheme="minorHAnsi"/>
                <w:sz w:val="16"/>
                <w:szCs w:val="16"/>
                <w:lang w:eastAsia="el-GR"/>
              </w:rPr>
              <w:t>Αποτελέσματα προ προβλέψεων, απομειώσεων και φόρου εισοδήματος, εξαιρουμένων των έκτακτων στοιχείων που σχετίζονται με την αντίστοιχη περίοδο, σύμφωνα με το στοιχείο #33</w:t>
            </w:r>
          </w:p>
        </w:tc>
      </w:tr>
      <w:tr w:rsidR="00EA6E38" w:rsidRPr="00253EBA" w14:paraId="5D9DE874" w14:textId="77777777" w:rsidTr="00F41D49">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14:paraId="48B5A726" w14:textId="77777777" w:rsidR="00EA6E38" w:rsidRPr="00D60852" w:rsidRDefault="00EA6E38" w:rsidP="00EA6E38">
            <w:pPr>
              <w:jc w:val="center"/>
              <w:rPr>
                <w:rFonts w:cstheme="minorHAnsi"/>
                <w:sz w:val="16"/>
                <w:szCs w:val="16"/>
                <w:lang w:val="en-US"/>
              </w:rPr>
            </w:pPr>
            <w:r w:rsidRPr="00253EBA">
              <w:rPr>
                <w:rFonts w:cstheme="minorHAnsi"/>
                <w:sz w:val="16"/>
                <w:szCs w:val="16"/>
              </w:rPr>
              <w:t>2</w:t>
            </w:r>
            <w:r>
              <w:rPr>
                <w:rFonts w:cstheme="minorHAnsi"/>
                <w:sz w:val="16"/>
                <w:szCs w:val="16"/>
                <w:lang w:val="en-US"/>
              </w:rPr>
              <w:t>3</w:t>
            </w:r>
          </w:p>
        </w:tc>
        <w:tc>
          <w:tcPr>
            <w:tcW w:w="2398" w:type="dxa"/>
            <w:tcBorders>
              <w:top w:val="nil"/>
              <w:left w:val="nil"/>
              <w:bottom w:val="single" w:sz="6" w:space="0" w:color="3A73AE"/>
              <w:right w:val="single" w:sz="6" w:space="0" w:color="3A73AE"/>
            </w:tcBorders>
            <w:shd w:val="clear" w:color="auto" w:fill="auto"/>
            <w:vAlign w:val="center"/>
          </w:tcPr>
          <w:p w14:paraId="7BDA3FA2" w14:textId="77777777" w:rsidR="00EA6E38" w:rsidRPr="00B27E9B" w:rsidRDefault="00EA6E38" w:rsidP="00EA6E38">
            <w:pPr>
              <w:rPr>
                <w:rFonts w:cstheme="minorHAnsi"/>
                <w:b/>
                <w:sz w:val="16"/>
                <w:szCs w:val="16"/>
              </w:rPr>
            </w:pPr>
            <w:r w:rsidRPr="00B27E9B">
              <w:rPr>
                <w:rFonts w:eastAsia="Times New Roman" w:cstheme="minorHAnsi"/>
                <w:b/>
                <w:sz w:val="16"/>
                <w:szCs w:val="16"/>
                <w:lang w:eastAsia="el-GR"/>
              </w:rPr>
              <w:t>Καθαρό περιθώριο επιτοκίου (NIM) </w:t>
            </w:r>
          </w:p>
        </w:tc>
        <w:tc>
          <w:tcPr>
            <w:tcW w:w="5997" w:type="dxa"/>
            <w:tcBorders>
              <w:top w:val="nil"/>
              <w:left w:val="nil"/>
              <w:bottom w:val="single" w:sz="6" w:space="0" w:color="3A73AE"/>
              <w:right w:val="single" w:sz="6" w:space="0" w:color="3A73AE"/>
            </w:tcBorders>
            <w:shd w:val="clear" w:color="auto" w:fill="FFFFFF"/>
          </w:tcPr>
          <w:p w14:paraId="7EC81A17" w14:textId="77777777" w:rsidR="00EA6E38" w:rsidRPr="00136D12" w:rsidRDefault="00EA6E38" w:rsidP="00EA6E38">
            <w:pPr>
              <w:rPr>
                <w:rFonts w:cstheme="minorHAnsi"/>
                <w:sz w:val="16"/>
                <w:szCs w:val="16"/>
              </w:rPr>
            </w:pPr>
            <w:r w:rsidRPr="00136D12">
              <w:rPr>
                <w:rFonts w:eastAsia="Times New Roman" w:cstheme="minorHAnsi"/>
                <w:sz w:val="16"/>
                <w:szCs w:val="16"/>
                <w:lang w:eastAsia="el-GR"/>
              </w:rPr>
              <w:t>Καθαρά έσοδα τόκων σε ετησιοποιημένη βάση προς (/) Προσαρμοσμένο ενεργητικό χρήσης</w:t>
            </w:r>
          </w:p>
        </w:tc>
      </w:tr>
      <w:tr w:rsidR="00EA6E38" w:rsidRPr="00253EBA" w14:paraId="32897FD6" w14:textId="77777777" w:rsidTr="00F41D49">
        <w:trPr>
          <w:trHeight w:val="278"/>
        </w:trPr>
        <w:tc>
          <w:tcPr>
            <w:tcW w:w="399" w:type="dxa"/>
            <w:tcBorders>
              <w:top w:val="nil"/>
              <w:left w:val="single" w:sz="6" w:space="0" w:color="3A73AE"/>
              <w:bottom w:val="single" w:sz="6" w:space="0" w:color="3A73AE"/>
              <w:right w:val="single" w:sz="6" w:space="0" w:color="3A73AE"/>
            </w:tcBorders>
            <w:shd w:val="clear" w:color="auto" w:fill="auto"/>
            <w:vAlign w:val="center"/>
          </w:tcPr>
          <w:p w14:paraId="0DEB8CF9" w14:textId="77777777" w:rsidR="00EA6E38" w:rsidRPr="00D60852" w:rsidRDefault="00EA6E38" w:rsidP="00EA6E38">
            <w:pPr>
              <w:jc w:val="center"/>
              <w:rPr>
                <w:rFonts w:cstheme="minorHAnsi"/>
                <w:sz w:val="16"/>
                <w:szCs w:val="16"/>
                <w:lang w:val="en-US"/>
              </w:rPr>
            </w:pPr>
            <w:r w:rsidRPr="00253EBA">
              <w:rPr>
                <w:rFonts w:cstheme="minorHAnsi"/>
                <w:sz w:val="16"/>
                <w:szCs w:val="16"/>
              </w:rPr>
              <w:t>2</w:t>
            </w:r>
            <w:r>
              <w:rPr>
                <w:rFonts w:cstheme="minorHAnsi"/>
                <w:sz w:val="16"/>
                <w:szCs w:val="16"/>
                <w:lang w:val="en-US"/>
              </w:rPr>
              <w:t>4</w:t>
            </w:r>
          </w:p>
        </w:tc>
        <w:tc>
          <w:tcPr>
            <w:tcW w:w="2398" w:type="dxa"/>
            <w:tcBorders>
              <w:top w:val="nil"/>
              <w:left w:val="nil"/>
              <w:bottom w:val="single" w:sz="6" w:space="0" w:color="3A73AE"/>
              <w:right w:val="single" w:sz="6" w:space="0" w:color="3A73AE"/>
            </w:tcBorders>
            <w:shd w:val="clear" w:color="auto" w:fill="auto"/>
            <w:vAlign w:val="center"/>
          </w:tcPr>
          <w:p w14:paraId="208BF657" w14:textId="77777777" w:rsidR="00EA6E38" w:rsidRPr="00B27E9B" w:rsidRDefault="00EA6E38" w:rsidP="00EA6E38">
            <w:pPr>
              <w:rPr>
                <w:rFonts w:cstheme="minorHAnsi"/>
                <w:b/>
                <w:sz w:val="16"/>
                <w:szCs w:val="16"/>
              </w:rPr>
            </w:pPr>
            <w:r w:rsidRPr="00B27E9B">
              <w:rPr>
                <w:rFonts w:eastAsia="Times New Roman" w:cstheme="minorHAnsi"/>
                <w:b/>
                <w:sz w:val="16"/>
                <w:szCs w:val="16"/>
                <w:lang w:eastAsia="el-GR"/>
              </w:rPr>
              <w:t>Καθαρά έσοδα </w:t>
            </w:r>
          </w:p>
        </w:tc>
        <w:tc>
          <w:tcPr>
            <w:tcW w:w="5997" w:type="dxa"/>
            <w:tcBorders>
              <w:top w:val="nil"/>
              <w:left w:val="nil"/>
              <w:bottom w:val="single" w:sz="6" w:space="0" w:color="3A73AE"/>
              <w:right w:val="single" w:sz="6" w:space="0" w:color="3A73AE"/>
            </w:tcBorders>
            <w:shd w:val="clear" w:color="auto" w:fill="FFFFFF"/>
            <w:vAlign w:val="center"/>
          </w:tcPr>
          <w:p w14:paraId="34761ED4" w14:textId="77777777" w:rsidR="00EA6E38" w:rsidRPr="00136D12" w:rsidRDefault="00EA6E38" w:rsidP="00EA6E38">
            <w:pPr>
              <w:rPr>
                <w:rFonts w:cstheme="minorHAnsi"/>
                <w:sz w:val="16"/>
                <w:szCs w:val="16"/>
                <w:lang w:val="en-US"/>
              </w:rPr>
            </w:pPr>
            <w:r w:rsidRPr="00136D12">
              <w:rPr>
                <w:rFonts w:eastAsia="Times New Roman" w:cstheme="minorHAnsi"/>
                <w:sz w:val="16"/>
                <w:szCs w:val="16"/>
                <w:lang w:eastAsia="el-GR"/>
              </w:rPr>
              <w:t>Σύνολο καθαρών εσόδων </w:t>
            </w:r>
          </w:p>
        </w:tc>
      </w:tr>
      <w:tr w:rsidR="00EA6E38" w:rsidRPr="00253EBA" w14:paraId="0BD584C6" w14:textId="77777777" w:rsidTr="00F41D49">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14:paraId="5FF9FFE5" w14:textId="77777777" w:rsidR="00EA6E38" w:rsidRPr="00D60852" w:rsidRDefault="00EA6E38" w:rsidP="00EA6E38">
            <w:pPr>
              <w:jc w:val="center"/>
              <w:rPr>
                <w:rFonts w:cstheme="minorHAnsi"/>
                <w:sz w:val="16"/>
                <w:szCs w:val="16"/>
                <w:lang w:val="en-US"/>
              </w:rPr>
            </w:pPr>
            <w:r w:rsidRPr="00253EBA">
              <w:rPr>
                <w:rFonts w:cstheme="minorHAnsi"/>
                <w:sz w:val="16"/>
                <w:szCs w:val="16"/>
              </w:rPr>
              <w:t>2</w:t>
            </w:r>
            <w:r>
              <w:rPr>
                <w:rFonts w:cstheme="minorHAnsi"/>
                <w:sz w:val="16"/>
                <w:szCs w:val="16"/>
                <w:lang w:val="en-US"/>
              </w:rPr>
              <w:t>5</w:t>
            </w:r>
          </w:p>
        </w:tc>
        <w:tc>
          <w:tcPr>
            <w:tcW w:w="2398" w:type="dxa"/>
            <w:tcBorders>
              <w:top w:val="nil"/>
              <w:left w:val="nil"/>
              <w:bottom w:val="single" w:sz="6" w:space="0" w:color="3A73AE"/>
              <w:right w:val="single" w:sz="6" w:space="0" w:color="3A73AE"/>
            </w:tcBorders>
            <w:shd w:val="clear" w:color="auto" w:fill="auto"/>
            <w:vAlign w:val="center"/>
          </w:tcPr>
          <w:p w14:paraId="14DAD527" w14:textId="77777777" w:rsidR="00EA6E38" w:rsidRPr="00B27E9B" w:rsidRDefault="00EA6E38" w:rsidP="00EA6E38">
            <w:pPr>
              <w:rPr>
                <w:rFonts w:eastAsia="Times New Roman" w:cstheme="minorHAnsi"/>
                <w:b/>
                <w:sz w:val="16"/>
                <w:szCs w:val="16"/>
                <w:lang w:eastAsia="el-GR"/>
              </w:rPr>
            </w:pPr>
            <w:r w:rsidRPr="00B27E9B">
              <w:rPr>
                <w:rFonts w:eastAsia="Times New Roman" w:cstheme="minorHAnsi"/>
                <w:b/>
                <w:sz w:val="16"/>
                <w:szCs w:val="16"/>
                <w:lang w:eastAsia="el-GR"/>
              </w:rPr>
              <w:t>Περιθώριο καθαρών εσόδων από προμήθειες ή Καθαρά έσοδα προμηθειών προς ενεργητικό</w:t>
            </w:r>
          </w:p>
        </w:tc>
        <w:tc>
          <w:tcPr>
            <w:tcW w:w="5997" w:type="dxa"/>
            <w:tcBorders>
              <w:top w:val="nil"/>
              <w:left w:val="nil"/>
              <w:bottom w:val="single" w:sz="6" w:space="0" w:color="3A73AE"/>
              <w:right w:val="single" w:sz="6" w:space="0" w:color="3A73AE"/>
            </w:tcBorders>
            <w:shd w:val="clear" w:color="auto" w:fill="FFFFFF"/>
            <w:vAlign w:val="center"/>
          </w:tcPr>
          <w:p w14:paraId="2A2FEE4B" w14:textId="77777777" w:rsidR="00EA6E38" w:rsidRPr="00136D12" w:rsidRDefault="00EA6E38" w:rsidP="00EA6E38">
            <w:pPr>
              <w:rPr>
                <w:rFonts w:eastAsia="Times New Roman" w:cstheme="minorHAnsi"/>
                <w:sz w:val="16"/>
                <w:szCs w:val="16"/>
                <w:lang w:eastAsia="el-GR"/>
              </w:rPr>
            </w:pPr>
            <w:r w:rsidRPr="00136D12">
              <w:rPr>
                <w:rFonts w:eastAsia="Times New Roman" w:cstheme="minorHAnsi"/>
                <w:sz w:val="16"/>
                <w:szCs w:val="16"/>
                <w:lang w:eastAsia="el-GR"/>
              </w:rPr>
              <w:t>Καθαρά έσοδα προμηθειών προς (/) Προσαρμοσμένο ενεργητικό χρήσης</w:t>
            </w:r>
          </w:p>
        </w:tc>
      </w:tr>
      <w:tr w:rsidR="00EA6E38" w:rsidRPr="00253EBA" w14:paraId="1372F5B4" w14:textId="77777777" w:rsidTr="00F41D49">
        <w:trPr>
          <w:trHeight w:val="260"/>
        </w:trPr>
        <w:tc>
          <w:tcPr>
            <w:tcW w:w="399" w:type="dxa"/>
            <w:tcBorders>
              <w:top w:val="nil"/>
              <w:left w:val="single" w:sz="6" w:space="0" w:color="3A73AE"/>
              <w:bottom w:val="single" w:sz="6" w:space="0" w:color="3A73AE"/>
              <w:right w:val="single" w:sz="6" w:space="0" w:color="3A73AE"/>
            </w:tcBorders>
            <w:shd w:val="clear" w:color="auto" w:fill="auto"/>
            <w:vAlign w:val="center"/>
          </w:tcPr>
          <w:p w14:paraId="19534506" w14:textId="77777777" w:rsidR="00EA6E38" w:rsidRPr="00D60852" w:rsidRDefault="00EA6E38" w:rsidP="00EA6E38">
            <w:pPr>
              <w:jc w:val="center"/>
              <w:rPr>
                <w:rFonts w:cstheme="minorHAnsi"/>
                <w:sz w:val="16"/>
                <w:szCs w:val="16"/>
                <w:lang w:val="en-US"/>
              </w:rPr>
            </w:pPr>
            <w:r w:rsidRPr="00253EBA">
              <w:rPr>
                <w:rFonts w:cstheme="minorHAnsi"/>
                <w:sz w:val="16"/>
                <w:szCs w:val="16"/>
              </w:rPr>
              <w:t>2</w:t>
            </w:r>
            <w:r>
              <w:rPr>
                <w:rFonts w:cstheme="minorHAnsi"/>
                <w:sz w:val="16"/>
                <w:szCs w:val="16"/>
                <w:lang w:val="en-US"/>
              </w:rPr>
              <w:t>6</w:t>
            </w:r>
          </w:p>
        </w:tc>
        <w:tc>
          <w:tcPr>
            <w:tcW w:w="2398" w:type="dxa"/>
            <w:tcBorders>
              <w:top w:val="nil"/>
              <w:left w:val="nil"/>
              <w:bottom w:val="single" w:sz="6" w:space="0" w:color="3A73AE"/>
              <w:right w:val="single" w:sz="6" w:space="0" w:color="3A73AE"/>
            </w:tcBorders>
            <w:shd w:val="clear" w:color="auto" w:fill="auto"/>
            <w:vAlign w:val="center"/>
          </w:tcPr>
          <w:p w14:paraId="2A8BA749" w14:textId="77777777" w:rsidR="00EA6E38" w:rsidRPr="00B27E9B" w:rsidRDefault="00EA6E38" w:rsidP="00EA6E38">
            <w:pPr>
              <w:rPr>
                <w:rFonts w:cstheme="minorHAnsi"/>
                <w:b/>
                <w:sz w:val="16"/>
                <w:szCs w:val="16"/>
              </w:rPr>
            </w:pPr>
            <w:r w:rsidRPr="00B27E9B">
              <w:rPr>
                <w:rFonts w:eastAsia="Times New Roman" w:cstheme="minorHAnsi"/>
                <w:b/>
                <w:sz w:val="16"/>
                <w:szCs w:val="16"/>
                <w:lang w:eastAsia="el-GR"/>
              </w:rPr>
              <w:t>Καθαρό κέρδος  </w:t>
            </w:r>
          </w:p>
        </w:tc>
        <w:tc>
          <w:tcPr>
            <w:tcW w:w="5997" w:type="dxa"/>
            <w:tcBorders>
              <w:top w:val="nil"/>
              <w:left w:val="nil"/>
              <w:bottom w:val="single" w:sz="6" w:space="0" w:color="3A73AE"/>
              <w:right w:val="single" w:sz="6" w:space="0" w:color="3A73AE"/>
            </w:tcBorders>
            <w:shd w:val="clear" w:color="auto" w:fill="FFFFFF"/>
            <w:vAlign w:val="center"/>
          </w:tcPr>
          <w:p w14:paraId="4A9D6686" w14:textId="77777777" w:rsidR="00EA6E38" w:rsidRPr="00136D12" w:rsidRDefault="00EA6E38" w:rsidP="00EA6E38">
            <w:pPr>
              <w:rPr>
                <w:rFonts w:cstheme="minorHAnsi"/>
                <w:sz w:val="16"/>
                <w:szCs w:val="16"/>
              </w:rPr>
            </w:pPr>
            <w:r w:rsidRPr="00136D12">
              <w:rPr>
                <w:rFonts w:eastAsia="Times New Roman" w:cstheme="minorHAnsi"/>
                <w:sz w:val="16"/>
                <w:szCs w:val="16"/>
                <w:lang w:eastAsia="el-GR"/>
              </w:rPr>
              <w:t>Κέρδη/(Ζημίες) από συνεχιζόμενες δραστηριότητες αναλογούντα στους μετόχους της Τράπεζας </w:t>
            </w:r>
          </w:p>
        </w:tc>
      </w:tr>
      <w:tr w:rsidR="00EA6E38" w:rsidRPr="00253EBA" w14:paraId="34C16BB4" w14:textId="77777777" w:rsidTr="00F41D49">
        <w:trPr>
          <w:trHeight w:val="314"/>
        </w:trPr>
        <w:tc>
          <w:tcPr>
            <w:tcW w:w="399" w:type="dxa"/>
            <w:tcBorders>
              <w:top w:val="nil"/>
              <w:left w:val="single" w:sz="6" w:space="0" w:color="3A73AE"/>
              <w:bottom w:val="single" w:sz="6" w:space="0" w:color="3A73AE"/>
              <w:right w:val="single" w:sz="6" w:space="0" w:color="3A73AE"/>
            </w:tcBorders>
            <w:shd w:val="clear" w:color="auto" w:fill="auto"/>
            <w:vAlign w:val="center"/>
          </w:tcPr>
          <w:p w14:paraId="3C48B7C2" w14:textId="77777777" w:rsidR="00EA6E38" w:rsidRPr="00D60852" w:rsidRDefault="00EA6E38" w:rsidP="00EA6E38">
            <w:pPr>
              <w:jc w:val="center"/>
              <w:rPr>
                <w:rFonts w:cstheme="minorHAnsi"/>
                <w:sz w:val="16"/>
                <w:szCs w:val="16"/>
                <w:lang w:val="en-US"/>
              </w:rPr>
            </w:pPr>
            <w:r w:rsidRPr="00253EBA">
              <w:rPr>
                <w:rFonts w:cstheme="minorHAnsi"/>
                <w:sz w:val="16"/>
                <w:szCs w:val="16"/>
              </w:rPr>
              <w:t>2</w:t>
            </w:r>
            <w:r>
              <w:rPr>
                <w:rFonts w:cstheme="minorHAnsi"/>
                <w:sz w:val="16"/>
                <w:szCs w:val="16"/>
                <w:lang w:val="en-US"/>
              </w:rPr>
              <w:t>7</w:t>
            </w:r>
          </w:p>
        </w:tc>
        <w:tc>
          <w:tcPr>
            <w:tcW w:w="2398" w:type="dxa"/>
            <w:tcBorders>
              <w:top w:val="nil"/>
              <w:left w:val="nil"/>
              <w:bottom w:val="single" w:sz="6" w:space="0" w:color="3A73AE"/>
              <w:right w:val="single" w:sz="6" w:space="0" w:color="3A73AE"/>
            </w:tcBorders>
            <w:shd w:val="clear" w:color="auto" w:fill="auto"/>
            <w:vAlign w:val="center"/>
          </w:tcPr>
          <w:p w14:paraId="4CBE5E40" w14:textId="77777777" w:rsidR="00EA6E38" w:rsidRPr="00B27E9B" w:rsidRDefault="00EA6E38" w:rsidP="00EA6E38">
            <w:pPr>
              <w:rPr>
                <w:rFonts w:cstheme="minorHAnsi"/>
                <w:b/>
                <w:sz w:val="16"/>
                <w:szCs w:val="16"/>
              </w:rPr>
            </w:pPr>
            <w:r w:rsidRPr="00B27E9B">
              <w:rPr>
                <w:rFonts w:eastAsia="Times New Roman" w:cstheme="minorHAnsi"/>
                <w:b/>
                <w:sz w:val="16"/>
                <w:szCs w:val="16"/>
                <w:lang w:eastAsia="el-GR"/>
              </w:rPr>
              <w:t>Καταθέσεις ή Καταθέσεις Πελατών </w:t>
            </w:r>
          </w:p>
        </w:tc>
        <w:tc>
          <w:tcPr>
            <w:tcW w:w="5997" w:type="dxa"/>
            <w:tcBorders>
              <w:top w:val="nil"/>
              <w:left w:val="nil"/>
              <w:bottom w:val="single" w:sz="6" w:space="0" w:color="3A73AE"/>
              <w:right w:val="single" w:sz="6" w:space="0" w:color="3A73AE"/>
            </w:tcBorders>
            <w:shd w:val="clear" w:color="auto" w:fill="FFFFFF"/>
            <w:vAlign w:val="center"/>
          </w:tcPr>
          <w:p w14:paraId="3E328FBF" w14:textId="77777777" w:rsidR="00EA6E38" w:rsidRPr="00136D12" w:rsidRDefault="00EA6E38" w:rsidP="00EA6E38">
            <w:pPr>
              <w:rPr>
                <w:rFonts w:cstheme="minorHAnsi"/>
                <w:sz w:val="16"/>
                <w:szCs w:val="16"/>
                <w:lang w:val="en-US"/>
              </w:rPr>
            </w:pPr>
            <w:r w:rsidRPr="00136D12">
              <w:rPr>
                <w:rFonts w:eastAsia="Times New Roman" w:cstheme="minorHAnsi"/>
                <w:sz w:val="16"/>
                <w:szCs w:val="16"/>
                <w:lang w:eastAsia="el-GR"/>
              </w:rPr>
              <w:t>Υποχρεώσεις προς πελάτες  </w:t>
            </w:r>
          </w:p>
        </w:tc>
      </w:tr>
      <w:tr w:rsidR="00EA6E38" w:rsidRPr="00253EBA" w14:paraId="6AA8DC48" w14:textId="77777777" w:rsidTr="00F41D49">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14:paraId="7B4D9FA5" w14:textId="77777777" w:rsidR="00EA6E38" w:rsidRPr="00D60852" w:rsidRDefault="00EA6E38" w:rsidP="00EA6E38">
            <w:pPr>
              <w:jc w:val="center"/>
              <w:rPr>
                <w:rFonts w:cstheme="minorHAnsi"/>
                <w:sz w:val="16"/>
                <w:szCs w:val="16"/>
                <w:lang w:val="en-US"/>
              </w:rPr>
            </w:pPr>
            <w:r w:rsidRPr="00253EBA">
              <w:rPr>
                <w:rFonts w:cstheme="minorHAnsi"/>
                <w:sz w:val="16"/>
                <w:szCs w:val="16"/>
              </w:rPr>
              <w:t>2</w:t>
            </w:r>
            <w:r>
              <w:rPr>
                <w:rFonts w:cstheme="minorHAnsi"/>
                <w:sz w:val="16"/>
                <w:szCs w:val="16"/>
                <w:lang w:val="en-US"/>
              </w:rPr>
              <w:t>8</w:t>
            </w:r>
          </w:p>
        </w:tc>
        <w:tc>
          <w:tcPr>
            <w:tcW w:w="2398" w:type="dxa"/>
            <w:tcBorders>
              <w:top w:val="nil"/>
              <w:left w:val="nil"/>
              <w:bottom w:val="single" w:sz="6" w:space="0" w:color="3A73AE"/>
              <w:right w:val="single" w:sz="6" w:space="0" w:color="3A73AE"/>
            </w:tcBorders>
            <w:shd w:val="clear" w:color="auto" w:fill="auto"/>
            <w:vAlign w:val="center"/>
          </w:tcPr>
          <w:p w14:paraId="6BF2732D" w14:textId="77777777" w:rsidR="00EA6E38" w:rsidRPr="00B27E9B" w:rsidRDefault="00EA6E38" w:rsidP="00EA6E38">
            <w:pPr>
              <w:rPr>
                <w:rFonts w:cstheme="minorHAnsi"/>
                <w:b/>
                <w:sz w:val="16"/>
                <w:szCs w:val="16"/>
              </w:rPr>
            </w:pPr>
            <w:r w:rsidRPr="00B27E9B">
              <w:rPr>
                <w:rFonts w:eastAsia="Times New Roman" w:cstheme="minorHAnsi"/>
                <w:b/>
                <w:sz w:val="16"/>
                <w:szCs w:val="16"/>
                <w:lang w:eastAsia="el-GR"/>
              </w:rPr>
              <w:t>Καταθέσεις Ιδιωτικού Τομέα  </w:t>
            </w:r>
          </w:p>
        </w:tc>
        <w:tc>
          <w:tcPr>
            <w:tcW w:w="5997" w:type="dxa"/>
            <w:tcBorders>
              <w:top w:val="nil"/>
              <w:left w:val="nil"/>
              <w:bottom w:val="single" w:sz="6" w:space="0" w:color="3A73AE"/>
              <w:right w:val="single" w:sz="6" w:space="0" w:color="3A73AE"/>
            </w:tcBorders>
            <w:shd w:val="clear" w:color="auto" w:fill="FFFFFF"/>
            <w:vAlign w:val="center"/>
          </w:tcPr>
          <w:p w14:paraId="4F397776" w14:textId="77777777" w:rsidR="00EA6E38" w:rsidRPr="00136D12" w:rsidRDefault="00EA6E38" w:rsidP="00EA6E38">
            <w:pPr>
              <w:rPr>
                <w:rFonts w:cstheme="minorHAnsi"/>
                <w:sz w:val="16"/>
                <w:szCs w:val="16"/>
              </w:rPr>
            </w:pPr>
            <w:r w:rsidRPr="00136D12">
              <w:rPr>
                <w:rFonts w:eastAsia="Times New Roman" w:cstheme="minorHAnsi"/>
                <w:sz w:val="16"/>
                <w:szCs w:val="16"/>
                <w:lang w:eastAsia="el-GR"/>
              </w:rPr>
              <w:t>Καταθέσεις πελατών εξαιρουμένων των καταθέσεων του Ελληνικού Δημοσίου στην Τράπεζα Πειραιώς</w:t>
            </w:r>
          </w:p>
        </w:tc>
      </w:tr>
      <w:tr w:rsidR="00EA6E38" w:rsidRPr="00253EBA" w14:paraId="6210B95E" w14:textId="77777777" w:rsidTr="00F41D49">
        <w:trPr>
          <w:trHeight w:val="305"/>
        </w:trPr>
        <w:tc>
          <w:tcPr>
            <w:tcW w:w="399" w:type="dxa"/>
            <w:tcBorders>
              <w:top w:val="nil"/>
              <w:left w:val="single" w:sz="6" w:space="0" w:color="3A73AE"/>
              <w:bottom w:val="single" w:sz="6" w:space="0" w:color="3A73AE"/>
              <w:right w:val="single" w:sz="6" w:space="0" w:color="3A73AE"/>
            </w:tcBorders>
            <w:shd w:val="clear" w:color="auto" w:fill="auto"/>
            <w:vAlign w:val="center"/>
          </w:tcPr>
          <w:p w14:paraId="6B179E01" w14:textId="77777777" w:rsidR="00EA6E38" w:rsidRPr="00D60852" w:rsidRDefault="00EA6E38" w:rsidP="00EA6E38">
            <w:pPr>
              <w:jc w:val="center"/>
              <w:rPr>
                <w:rFonts w:cstheme="minorHAnsi"/>
                <w:sz w:val="16"/>
                <w:szCs w:val="16"/>
                <w:lang w:val="en-US"/>
              </w:rPr>
            </w:pPr>
            <w:r w:rsidRPr="00253EBA">
              <w:rPr>
                <w:rFonts w:cstheme="minorHAnsi"/>
                <w:sz w:val="16"/>
                <w:szCs w:val="16"/>
              </w:rPr>
              <w:t>2</w:t>
            </w:r>
            <w:r>
              <w:rPr>
                <w:rFonts w:cstheme="minorHAnsi"/>
                <w:sz w:val="16"/>
                <w:szCs w:val="16"/>
                <w:lang w:val="en-US"/>
              </w:rPr>
              <w:t>9</w:t>
            </w:r>
          </w:p>
        </w:tc>
        <w:tc>
          <w:tcPr>
            <w:tcW w:w="2398" w:type="dxa"/>
            <w:tcBorders>
              <w:top w:val="nil"/>
              <w:left w:val="nil"/>
              <w:bottom w:val="single" w:sz="6" w:space="0" w:color="3A73AE"/>
              <w:right w:val="single" w:sz="6" w:space="0" w:color="3A73AE"/>
            </w:tcBorders>
            <w:shd w:val="clear" w:color="auto" w:fill="auto"/>
            <w:vAlign w:val="center"/>
          </w:tcPr>
          <w:p w14:paraId="04158321" w14:textId="77777777" w:rsidR="00EA6E38" w:rsidRPr="00B27E9B" w:rsidRDefault="00EA6E38" w:rsidP="00EA6E38">
            <w:pPr>
              <w:rPr>
                <w:rFonts w:cstheme="minorHAnsi"/>
                <w:b/>
                <w:sz w:val="16"/>
                <w:szCs w:val="16"/>
              </w:rPr>
            </w:pPr>
            <w:r w:rsidRPr="00B27E9B">
              <w:rPr>
                <w:rFonts w:eastAsia="Times New Roman" w:cstheme="minorHAnsi"/>
                <w:b/>
                <w:sz w:val="16"/>
                <w:szCs w:val="16"/>
                <w:lang w:eastAsia="el-GR"/>
              </w:rPr>
              <w:t>Λειτουργικά Έξοδα (κόστος) </w:t>
            </w:r>
          </w:p>
        </w:tc>
        <w:tc>
          <w:tcPr>
            <w:tcW w:w="5997" w:type="dxa"/>
            <w:tcBorders>
              <w:top w:val="nil"/>
              <w:left w:val="nil"/>
              <w:bottom w:val="single" w:sz="6" w:space="0" w:color="3A73AE"/>
              <w:right w:val="single" w:sz="6" w:space="0" w:color="3A73AE"/>
            </w:tcBorders>
            <w:shd w:val="clear" w:color="auto" w:fill="FFFFFF"/>
            <w:vAlign w:val="center"/>
          </w:tcPr>
          <w:p w14:paraId="485438B8" w14:textId="77777777" w:rsidR="00EA6E38" w:rsidRPr="00136D12" w:rsidRDefault="00EA6E38" w:rsidP="00EA6E38">
            <w:pPr>
              <w:rPr>
                <w:rFonts w:cstheme="minorHAnsi"/>
                <w:sz w:val="16"/>
                <w:szCs w:val="16"/>
              </w:rPr>
            </w:pPr>
            <w:r w:rsidRPr="00136D12">
              <w:rPr>
                <w:rFonts w:eastAsia="Times New Roman" w:cstheme="minorHAnsi"/>
                <w:sz w:val="16"/>
                <w:szCs w:val="16"/>
                <w:lang w:eastAsia="el-GR"/>
              </w:rPr>
              <w:t>Σύνολο λειτουργικών εξόδων πριν από τις προβλέψεις  </w:t>
            </w:r>
          </w:p>
        </w:tc>
      </w:tr>
      <w:tr w:rsidR="00EA6E38" w:rsidRPr="00253EBA" w14:paraId="5BA841D9" w14:textId="77777777" w:rsidTr="00F41D49">
        <w:trPr>
          <w:trHeight w:val="602"/>
        </w:trPr>
        <w:tc>
          <w:tcPr>
            <w:tcW w:w="399" w:type="dxa"/>
            <w:tcBorders>
              <w:top w:val="nil"/>
              <w:left w:val="single" w:sz="6" w:space="0" w:color="3A73AE"/>
              <w:bottom w:val="single" w:sz="6" w:space="0" w:color="3A73AE"/>
              <w:right w:val="single" w:sz="6" w:space="0" w:color="3A73AE"/>
            </w:tcBorders>
            <w:shd w:val="clear" w:color="auto" w:fill="auto"/>
            <w:vAlign w:val="center"/>
          </w:tcPr>
          <w:p w14:paraId="36A432C6" w14:textId="377ADAD7" w:rsidR="00EA6E38" w:rsidRPr="00D60852" w:rsidRDefault="00EA6E38" w:rsidP="00EA6E38">
            <w:pPr>
              <w:jc w:val="center"/>
              <w:rPr>
                <w:rFonts w:cstheme="minorHAnsi"/>
                <w:sz w:val="16"/>
                <w:szCs w:val="16"/>
                <w:lang w:val="en-US"/>
              </w:rPr>
            </w:pPr>
            <w:r w:rsidRPr="00253EBA">
              <w:rPr>
                <w:rFonts w:cstheme="minorHAnsi"/>
                <w:sz w:val="16"/>
                <w:szCs w:val="16"/>
              </w:rPr>
              <w:lastRenderedPageBreak/>
              <w:t>3</w:t>
            </w:r>
            <w:r>
              <w:rPr>
                <w:rFonts w:cstheme="minorHAnsi"/>
                <w:sz w:val="16"/>
                <w:szCs w:val="16"/>
              </w:rPr>
              <w:t>0</w:t>
            </w:r>
          </w:p>
        </w:tc>
        <w:tc>
          <w:tcPr>
            <w:tcW w:w="2398" w:type="dxa"/>
            <w:tcBorders>
              <w:top w:val="nil"/>
              <w:left w:val="nil"/>
              <w:bottom w:val="single" w:sz="6" w:space="0" w:color="3A73AE"/>
              <w:right w:val="single" w:sz="6" w:space="0" w:color="3A73AE"/>
            </w:tcBorders>
            <w:shd w:val="clear" w:color="auto" w:fill="auto"/>
            <w:vAlign w:val="center"/>
          </w:tcPr>
          <w:p w14:paraId="543CB7C9" w14:textId="77777777" w:rsidR="00EA6E38" w:rsidRPr="00B27E9B" w:rsidRDefault="00EA6E38" w:rsidP="00EA6E38">
            <w:pPr>
              <w:rPr>
                <w:rFonts w:cstheme="minorHAnsi"/>
                <w:b/>
                <w:sz w:val="16"/>
                <w:szCs w:val="16"/>
              </w:rPr>
            </w:pPr>
            <w:r w:rsidRPr="00B27E9B">
              <w:rPr>
                <w:rFonts w:eastAsia="Times New Roman" w:cstheme="minorHAnsi"/>
                <w:b/>
                <w:sz w:val="16"/>
                <w:szCs w:val="16"/>
                <w:lang w:eastAsia="el-GR"/>
              </w:rPr>
              <w:t>Λειτουργικά Έξοδα (Επαναλαμβανόμενα) </w:t>
            </w:r>
          </w:p>
        </w:tc>
        <w:tc>
          <w:tcPr>
            <w:tcW w:w="5997" w:type="dxa"/>
            <w:tcBorders>
              <w:top w:val="nil"/>
              <w:left w:val="nil"/>
              <w:bottom w:val="single" w:sz="6" w:space="0" w:color="3A73AE"/>
              <w:right w:val="single" w:sz="6" w:space="0" w:color="3A73AE"/>
            </w:tcBorders>
            <w:shd w:val="clear" w:color="auto" w:fill="FFFFFF"/>
            <w:vAlign w:val="center"/>
          </w:tcPr>
          <w:p w14:paraId="38637C67" w14:textId="77777777" w:rsidR="00EA6E38" w:rsidRPr="00136D12" w:rsidRDefault="00EA6E38" w:rsidP="00EA6E38">
            <w:pPr>
              <w:rPr>
                <w:rFonts w:cstheme="minorHAnsi"/>
                <w:sz w:val="16"/>
                <w:szCs w:val="16"/>
              </w:rPr>
            </w:pPr>
            <w:r w:rsidRPr="00136D12">
              <w:rPr>
                <w:rFonts w:eastAsia="Times New Roman" w:cstheme="minorHAnsi"/>
                <w:sz w:val="16"/>
                <w:szCs w:val="16"/>
                <w:lang w:eastAsia="el-GR"/>
              </w:rPr>
              <w:t>Λειτουργικά έξοδα εξαιρουμένων των εφάπαξ στοιχείων σύμφωνα με το στοιχείο #33</w:t>
            </w:r>
          </w:p>
        </w:tc>
      </w:tr>
      <w:tr w:rsidR="00EA6E38" w:rsidRPr="00253EBA" w14:paraId="0A6BB4C7" w14:textId="77777777" w:rsidTr="00F41D49">
        <w:trPr>
          <w:trHeight w:val="602"/>
        </w:trPr>
        <w:tc>
          <w:tcPr>
            <w:tcW w:w="399" w:type="dxa"/>
            <w:tcBorders>
              <w:top w:val="nil"/>
              <w:left w:val="single" w:sz="6" w:space="0" w:color="3A73AE"/>
              <w:bottom w:val="single" w:sz="6" w:space="0" w:color="3A73AE"/>
              <w:right w:val="single" w:sz="6" w:space="0" w:color="3A73AE"/>
            </w:tcBorders>
            <w:shd w:val="clear" w:color="auto" w:fill="auto"/>
            <w:vAlign w:val="center"/>
          </w:tcPr>
          <w:p w14:paraId="4DE8B9F8" w14:textId="5BE8F46B" w:rsidR="00EA6E38" w:rsidRPr="00253EBA" w:rsidRDefault="00EA6E38" w:rsidP="00EA6E38">
            <w:pPr>
              <w:jc w:val="center"/>
              <w:rPr>
                <w:rFonts w:cstheme="minorHAnsi"/>
                <w:sz w:val="16"/>
                <w:szCs w:val="16"/>
              </w:rPr>
            </w:pPr>
            <w:r>
              <w:rPr>
                <w:rFonts w:cstheme="minorHAnsi"/>
                <w:sz w:val="16"/>
                <w:szCs w:val="16"/>
                <w:lang w:val="en-US"/>
              </w:rPr>
              <w:t>3</w:t>
            </w:r>
            <w:r>
              <w:rPr>
                <w:rFonts w:cstheme="minorHAnsi"/>
                <w:sz w:val="16"/>
                <w:szCs w:val="16"/>
              </w:rPr>
              <w:t>1</w:t>
            </w:r>
          </w:p>
        </w:tc>
        <w:tc>
          <w:tcPr>
            <w:tcW w:w="2398" w:type="dxa"/>
            <w:tcBorders>
              <w:top w:val="nil"/>
              <w:left w:val="nil"/>
              <w:bottom w:val="single" w:sz="6" w:space="0" w:color="3A73AE"/>
              <w:right w:val="single" w:sz="6" w:space="0" w:color="3A73AE"/>
            </w:tcBorders>
            <w:shd w:val="clear" w:color="auto" w:fill="auto"/>
            <w:vAlign w:val="center"/>
          </w:tcPr>
          <w:p w14:paraId="743336C2" w14:textId="12F5848A" w:rsidR="00EA6E38" w:rsidRPr="00B27E9B" w:rsidRDefault="00EA6E38" w:rsidP="00EA6E38">
            <w:pPr>
              <w:rPr>
                <w:rFonts w:eastAsia="Times New Roman" w:cstheme="minorHAnsi"/>
                <w:b/>
                <w:sz w:val="16"/>
                <w:szCs w:val="16"/>
                <w:lang w:eastAsia="el-GR"/>
              </w:rPr>
            </w:pPr>
            <w:r w:rsidRPr="002341A2">
              <w:rPr>
                <w:rFonts w:eastAsia="Times New Roman" w:cstheme="minorHAnsi"/>
                <w:b/>
                <w:sz w:val="16"/>
                <w:szCs w:val="16"/>
                <w:lang w:eastAsia="el-GR"/>
              </w:rPr>
              <w:t>Mεσοπρόθεσμη απόδοση ενσώματων ιδίων κεφαλαίων</w:t>
            </w:r>
            <w:r w:rsidRPr="00B958A1">
              <w:rPr>
                <w:rFonts w:eastAsia="Times New Roman" w:cstheme="minorHAnsi"/>
                <w:b/>
                <w:sz w:val="16"/>
                <w:szCs w:val="16"/>
                <w:lang w:eastAsia="el-GR"/>
              </w:rPr>
              <w:t xml:space="preserve"> </w:t>
            </w:r>
            <w:r w:rsidRPr="002341A2">
              <w:rPr>
                <w:rFonts w:eastAsia="Times New Roman" w:cstheme="minorHAnsi"/>
                <w:b/>
                <w:sz w:val="16"/>
                <w:szCs w:val="16"/>
                <w:lang w:eastAsia="el-GR"/>
              </w:rPr>
              <w:t>(</w:t>
            </w:r>
            <w:r w:rsidRPr="002341A2">
              <w:rPr>
                <w:rFonts w:eastAsia="Times New Roman" w:cstheme="minorHAnsi"/>
                <w:b/>
                <w:sz w:val="16"/>
                <w:szCs w:val="16"/>
                <w:lang w:val="en-US" w:eastAsia="el-GR"/>
              </w:rPr>
              <w:t>RoTE</w:t>
            </w:r>
            <w:r w:rsidRPr="00B958A1">
              <w:rPr>
                <w:rFonts w:eastAsia="Times New Roman" w:cstheme="minorHAnsi"/>
                <w:b/>
                <w:sz w:val="16"/>
                <w:szCs w:val="16"/>
                <w:lang w:eastAsia="el-GR"/>
              </w:rPr>
              <w:t>)</w:t>
            </w:r>
          </w:p>
        </w:tc>
        <w:tc>
          <w:tcPr>
            <w:tcW w:w="5997" w:type="dxa"/>
            <w:tcBorders>
              <w:top w:val="nil"/>
              <w:left w:val="nil"/>
              <w:bottom w:val="single" w:sz="6" w:space="0" w:color="3A73AE"/>
              <w:right w:val="single" w:sz="6" w:space="0" w:color="3A73AE"/>
            </w:tcBorders>
            <w:shd w:val="clear" w:color="auto" w:fill="FFFFFF"/>
            <w:vAlign w:val="center"/>
          </w:tcPr>
          <w:p w14:paraId="6BC89E3F" w14:textId="6FEA6989" w:rsidR="00EA6E38" w:rsidRPr="00136D12" w:rsidRDefault="00EA6E38" w:rsidP="00EA6E38">
            <w:pPr>
              <w:rPr>
                <w:rFonts w:eastAsia="Times New Roman" w:cstheme="minorHAnsi"/>
                <w:sz w:val="16"/>
                <w:szCs w:val="16"/>
                <w:lang w:eastAsia="el-GR"/>
              </w:rPr>
            </w:pPr>
            <w:r>
              <w:rPr>
                <w:sz w:val="16"/>
                <w:szCs w:val="16"/>
              </w:rPr>
              <w:t>Αποτέλεσμα (κέρδη) πρό φόρων περιόδου σ</w:t>
            </w:r>
            <w:r w:rsidRPr="00136D12">
              <w:rPr>
                <w:rFonts w:eastAsia="Times New Roman" w:cstheme="minorHAnsi"/>
                <w:sz w:val="16"/>
                <w:szCs w:val="16"/>
                <w:lang w:eastAsia="el-GR"/>
              </w:rPr>
              <w:t xml:space="preserve">ε ετησιοποιημένη βάση </w:t>
            </w:r>
            <w:r>
              <w:rPr>
                <w:rFonts w:eastAsia="Times New Roman" w:cstheme="minorHAnsi"/>
                <w:sz w:val="16"/>
                <w:szCs w:val="16"/>
                <w:lang w:eastAsia="el-GR"/>
              </w:rPr>
              <w:t>π</w:t>
            </w:r>
            <w:r>
              <w:rPr>
                <w:sz w:val="16"/>
                <w:szCs w:val="16"/>
              </w:rPr>
              <w:t>ρος</w:t>
            </w:r>
            <w:r w:rsidRPr="00B958A1">
              <w:rPr>
                <w:sz w:val="16"/>
                <w:szCs w:val="16"/>
              </w:rPr>
              <w:t xml:space="preserve"> (/) </w:t>
            </w:r>
            <w:r>
              <w:rPr>
                <w:sz w:val="16"/>
                <w:szCs w:val="16"/>
              </w:rPr>
              <w:t>Ενσώματα</w:t>
            </w:r>
            <w:r w:rsidRPr="00B958A1">
              <w:rPr>
                <w:sz w:val="16"/>
                <w:szCs w:val="16"/>
              </w:rPr>
              <w:t xml:space="preserve"> </w:t>
            </w:r>
            <w:r>
              <w:rPr>
                <w:sz w:val="16"/>
                <w:szCs w:val="16"/>
              </w:rPr>
              <w:t>ίδια</w:t>
            </w:r>
            <w:r w:rsidRPr="00B958A1">
              <w:rPr>
                <w:sz w:val="16"/>
                <w:szCs w:val="16"/>
              </w:rPr>
              <w:t xml:space="preserve"> </w:t>
            </w:r>
            <w:r>
              <w:rPr>
                <w:sz w:val="16"/>
                <w:szCs w:val="16"/>
              </w:rPr>
              <w:t>κεφάλαια</w:t>
            </w:r>
          </w:p>
        </w:tc>
      </w:tr>
      <w:tr w:rsidR="00EA6E38" w:rsidRPr="00253EBA" w14:paraId="73959302" w14:textId="77777777" w:rsidTr="00F41D49">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14:paraId="60F31824" w14:textId="77777777" w:rsidR="00EA6E38" w:rsidRPr="00D60852" w:rsidRDefault="00EA6E38" w:rsidP="00EA6E38">
            <w:pPr>
              <w:jc w:val="center"/>
              <w:rPr>
                <w:rFonts w:cstheme="minorHAnsi"/>
                <w:sz w:val="16"/>
                <w:szCs w:val="16"/>
                <w:lang w:val="en-US"/>
              </w:rPr>
            </w:pPr>
            <w:r w:rsidRPr="00253EBA">
              <w:rPr>
                <w:rFonts w:cstheme="minorHAnsi"/>
                <w:sz w:val="16"/>
                <w:szCs w:val="16"/>
              </w:rPr>
              <w:t>3</w:t>
            </w:r>
            <w:r>
              <w:rPr>
                <w:rFonts w:cstheme="minorHAnsi"/>
                <w:sz w:val="16"/>
                <w:szCs w:val="16"/>
                <w:lang w:val="en-US"/>
              </w:rPr>
              <w:t>2</w:t>
            </w:r>
          </w:p>
        </w:tc>
        <w:tc>
          <w:tcPr>
            <w:tcW w:w="2398" w:type="dxa"/>
            <w:tcBorders>
              <w:top w:val="nil"/>
              <w:left w:val="nil"/>
              <w:bottom w:val="single" w:sz="6" w:space="0" w:color="3A73AE"/>
              <w:right w:val="single" w:sz="6" w:space="0" w:color="3A73AE"/>
            </w:tcBorders>
            <w:shd w:val="clear" w:color="auto" w:fill="auto"/>
            <w:vAlign w:val="center"/>
          </w:tcPr>
          <w:p w14:paraId="68F21603" w14:textId="77777777" w:rsidR="00EA6E38" w:rsidRPr="00B27E9B" w:rsidRDefault="00EA6E38" w:rsidP="00EA6E38">
            <w:pPr>
              <w:rPr>
                <w:rFonts w:eastAsia="Times New Roman" w:cstheme="minorHAnsi"/>
                <w:b/>
                <w:sz w:val="16"/>
                <w:szCs w:val="16"/>
                <w:lang w:eastAsia="el-GR"/>
              </w:rPr>
            </w:pPr>
            <w:r w:rsidRPr="00B27E9B">
              <w:rPr>
                <w:rFonts w:eastAsia="Times New Roman" w:cstheme="minorHAnsi"/>
                <w:b/>
                <w:sz w:val="16"/>
                <w:szCs w:val="16"/>
                <w:lang w:eastAsia="el-GR"/>
              </w:rPr>
              <w:t>Μη Εξυπηρετούμενα Ανοίγματα (NPE) </w:t>
            </w:r>
          </w:p>
        </w:tc>
        <w:tc>
          <w:tcPr>
            <w:tcW w:w="5997" w:type="dxa"/>
            <w:tcBorders>
              <w:top w:val="nil"/>
              <w:left w:val="nil"/>
              <w:bottom w:val="single" w:sz="6" w:space="0" w:color="3A73AE"/>
              <w:right w:val="single" w:sz="6" w:space="0" w:color="3A73AE"/>
            </w:tcBorders>
            <w:shd w:val="clear" w:color="auto" w:fill="FFFFFF"/>
            <w:vAlign w:val="center"/>
          </w:tcPr>
          <w:p w14:paraId="2A435160" w14:textId="77777777" w:rsidR="00EA6E38" w:rsidRPr="00136D12" w:rsidRDefault="00EA6E38" w:rsidP="00EA6E38">
            <w:pPr>
              <w:rPr>
                <w:rFonts w:eastAsia="Times New Roman" w:cstheme="minorHAnsi"/>
                <w:sz w:val="16"/>
                <w:szCs w:val="16"/>
                <w:lang w:eastAsia="el-GR"/>
              </w:rPr>
            </w:pPr>
            <w:r w:rsidRPr="00136D12">
              <w:rPr>
                <w:rFonts w:eastAsia="Times New Roman" w:cstheme="minorHAnsi"/>
                <w:sz w:val="16"/>
                <w:szCs w:val="16"/>
                <w:lang w:eastAsia="el-GR"/>
              </w:rPr>
              <w:t>Πιστοδοτικά ανοίγματα εντός ισολογισμού προ προβλέψεων, τα οποία: (α) έχουν καθυστέρηση άνω των 90 ημερών (β) έχουν υποστεί απομείωση ή ο οφειλέτης κρίνεται απίθανο να αποπληρώσει τις υποχρεώσεις (UTP) του πλήρως χωρίς τη ρευστοποίηση καλυμμάτων, ανεξάρτητα από την ύπαρξη ποσού σε καθυστέρηση ή του αριθμού των ημερών καθυστέρησης (γ) έχουν υποστεί ρύθμιση και δεν έχει εκπνεύσει η περίοδος παρακολούθησης κατά τις προδιαγραφές της Ευρωπαϊκής Τραπεζικής Αρχής (δ) έχουν επιμόλυνση από τα (α) ποσά, κατά τις προδιαγραφές της Ευρωπαϊκής Τραπεζικής Αρχής ή UTP.</w:t>
            </w:r>
          </w:p>
        </w:tc>
      </w:tr>
      <w:tr w:rsidR="00EA6E38" w:rsidRPr="00253EBA" w14:paraId="0513FF30" w14:textId="77777777" w:rsidTr="00F41D49">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14:paraId="4C35AA56" w14:textId="77777777" w:rsidR="00EA6E38" w:rsidRPr="00D60852" w:rsidRDefault="00EA6E38" w:rsidP="00EA6E38">
            <w:pPr>
              <w:jc w:val="center"/>
              <w:rPr>
                <w:rFonts w:cstheme="minorHAnsi"/>
                <w:sz w:val="16"/>
                <w:szCs w:val="16"/>
                <w:lang w:val="en-US"/>
              </w:rPr>
            </w:pPr>
            <w:r>
              <w:rPr>
                <w:rFonts w:cstheme="minorHAnsi"/>
                <w:sz w:val="16"/>
                <w:szCs w:val="16"/>
                <w:lang w:val="en-US"/>
              </w:rPr>
              <w:t>33</w:t>
            </w:r>
          </w:p>
        </w:tc>
        <w:tc>
          <w:tcPr>
            <w:tcW w:w="2398" w:type="dxa"/>
            <w:tcBorders>
              <w:top w:val="nil"/>
              <w:left w:val="nil"/>
              <w:bottom w:val="single" w:sz="6" w:space="0" w:color="3A73AE"/>
              <w:right w:val="single" w:sz="6" w:space="0" w:color="3A73AE"/>
            </w:tcBorders>
            <w:shd w:val="clear" w:color="auto" w:fill="auto"/>
            <w:vAlign w:val="center"/>
          </w:tcPr>
          <w:p w14:paraId="41D493C3" w14:textId="77777777" w:rsidR="00EA6E38" w:rsidRPr="00B27E9B" w:rsidRDefault="00EA6E38" w:rsidP="00EA6E38">
            <w:pPr>
              <w:rPr>
                <w:rFonts w:eastAsia="Times New Roman" w:cstheme="minorHAnsi"/>
                <w:b/>
                <w:sz w:val="16"/>
                <w:szCs w:val="16"/>
                <w:lang w:eastAsia="el-GR"/>
              </w:rPr>
            </w:pPr>
            <w:r w:rsidRPr="00B27E9B">
              <w:rPr>
                <w:rFonts w:eastAsia="Times New Roman" w:cstheme="minorHAnsi"/>
                <w:b/>
                <w:sz w:val="16"/>
                <w:szCs w:val="16"/>
                <w:lang w:eastAsia="el-GR"/>
              </w:rPr>
              <w:t>Μη επαναλαμβανόμενα  (εφάπαξ) στοιχεία αποτελεσμάτων</w:t>
            </w:r>
          </w:p>
        </w:tc>
        <w:tc>
          <w:tcPr>
            <w:tcW w:w="5997" w:type="dxa"/>
            <w:tcBorders>
              <w:top w:val="nil"/>
              <w:left w:val="nil"/>
              <w:bottom w:val="single" w:sz="6" w:space="0" w:color="3A73AE"/>
              <w:right w:val="single" w:sz="6" w:space="0" w:color="3A73AE"/>
            </w:tcBorders>
            <w:shd w:val="clear" w:color="auto" w:fill="FFFFFF"/>
            <w:vAlign w:val="center"/>
          </w:tcPr>
          <w:p w14:paraId="1335769C" w14:textId="3E53D463" w:rsidR="00EA6E38" w:rsidRPr="00136D12" w:rsidRDefault="00EA6E38" w:rsidP="007F3F11">
            <w:pPr>
              <w:rPr>
                <w:rFonts w:eastAsia="Times New Roman" w:cstheme="minorHAnsi"/>
                <w:sz w:val="16"/>
                <w:szCs w:val="16"/>
                <w:lang w:eastAsia="el-GR"/>
              </w:rPr>
            </w:pPr>
            <w:r w:rsidRPr="00136D12">
              <w:rPr>
                <w:rFonts w:eastAsia="Times New Roman" w:cstheme="minorHAnsi"/>
                <w:sz w:val="16"/>
                <w:szCs w:val="16"/>
                <w:lang w:eastAsia="el-GR"/>
              </w:rPr>
              <w:t>Τα μη επαναλαμβανόμενα στοιχεία για το 1</w:t>
            </w:r>
            <w:r w:rsidRPr="00136D12">
              <w:rPr>
                <w:rFonts w:eastAsia="Times New Roman" w:cstheme="minorHAnsi"/>
                <w:sz w:val="16"/>
                <w:szCs w:val="16"/>
                <w:vertAlign w:val="superscript"/>
                <w:lang w:eastAsia="el-GR"/>
              </w:rPr>
              <w:t>ο</w:t>
            </w:r>
            <w:r w:rsidRPr="00136D12">
              <w:rPr>
                <w:rFonts w:eastAsia="Times New Roman" w:cstheme="minorHAnsi"/>
                <w:sz w:val="16"/>
                <w:szCs w:val="16"/>
                <w:lang w:eastAsia="el-GR"/>
              </w:rPr>
              <w:t xml:space="preserve"> τρίμηνο 2021 περιλαμβάνουν €829 εκατ. έξοδο προβλέψεων συνδεδεμένο κυρίως με σενάριο πώλησης του 50% των τιτλοποιήσεων </w:t>
            </w:r>
            <w:r w:rsidRPr="00136D12">
              <w:rPr>
                <w:rFonts w:eastAsia="Times New Roman" w:cstheme="minorHAnsi"/>
                <w:sz w:val="16"/>
                <w:szCs w:val="16"/>
                <w:lang w:val="en-US" w:eastAsia="el-GR"/>
              </w:rPr>
              <w:t>Phoneix</w:t>
            </w:r>
            <w:r w:rsidRPr="00136D12">
              <w:rPr>
                <w:rFonts w:eastAsia="Times New Roman" w:cstheme="minorHAnsi"/>
                <w:sz w:val="16"/>
                <w:szCs w:val="16"/>
                <w:lang w:eastAsia="el-GR"/>
              </w:rPr>
              <w:t>/</w:t>
            </w:r>
            <w:r w:rsidRPr="00136D12">
              <w:rPr>
                <w:rFonts w:eastAsia="Times New Roman" w:cstheme="minorHAnsi"/>
                <w:sz w:val="16"/>
                <w:szCs w:val="16"/>
                <w:lang w:val="en-US" w:eastAsia="el-GR"/>
              </w:rPr>
              <w:t>Vega</w:t>
            </w:r>
            <w:r w:rsidRPr="00136D12">
              <w:rPr>
                <w:rFonts w:eastAsia="Times New Roman" w:cstheme="minorHAnsi"/>
                <w:sz w:val="16"/>
                <w:szCs w:val="16"/>
                <w:lang w:eastAsia="el-GR"/>
              </w:rPr>
              <w:t>, €221 εκατ. κέρδη από κρατικά ομόλογα στο εμπορικό χαρτοφυλάκιο, €7 εκατ έκτακτα έξοδα διοίκησης.</w:t>
            </w:r>
            <w:r>
              <w:t xml:space="preserve"> </w:t>
            </w:r>
            <w:r w:rsidRPr="00381033">
              <w:rPr>
                <w:rFonts w:eastAsia="Times New Roman" w:cstheme="minorHAnsi"/>
                <w:sz w:val="16"/>
                <w:szCs w:val="16"/>
                <w:lang w:eastAsia="el-GR"/>
              </w:rPr>
              <w:t xml:space="preserve">Τα μη επαναλαμβανόμενα στοιχεία για το </w:t>
            </w:r>
            <w:r>
              <w:rPr>
                <w:rFonts w:eastAsia="Times New Roman" w:cstheme="minorHAnsi"/>
                <w:sz w:val="16"/>
                <w:szCs w:val="16"/>
                <w:lang w:eastAsia="el-GR"/>
              </w:rPr>
              <w:t>2</w:t>
            </w:r>
            <w:r w:rsidRPr="00381033">
              <w:rPr>
                <w:rFonts w:eastAsia="Times New Roman" w:cstheme="minorHAnsi"/>
                <w:sz w:val="16"/>
                <w:szCs w:val="16"/>
                <w:vertAlign w:val="superscript"/>
                <w:lang w:eastAsia="el-GR"/>
              </w:rPr>
              <w:t>ο</w:t>
            </w:r>
            <w:r w:rsidRPr="00381033">
              <w:rPr>
                <w:rFonts w:eastAsia="Times New Roman" w:cstheme="minorHAnsi"/>
                <w:sz w:val="16"/>
                <w:szCs w:val="16"/>
                <w:lang w:eastAsia="el-GR"/>
              </w:rPr>
              <w:t xml:space="preserve"> τρίμη</w:t>
            </w:r>
            <w:r>
              <w:rPr>
                <w:rFonts w:eastAsia="Times New Roman" w:cstheme="minorHAnsi"/>
                <w:sz w:val="16"/>
                <w:szCs w:val="16"/>
                <w:lang w:eastAsia="el-GR"/>
              </w:rPr>
              <w:t>νο του 2001 περιλαμβάνουν έξοδα</w:t>
            </w:r>
            <w:r w:rsidRPr="00381033">
              <w:rPr>
                <w:rFonts w:eastAsia="Times New Roman" w:cstheme="minorHAnsi"/>
                <w:sz w:val="16"/>
                <w:szCs w:val="16"/>
                <w:lang w:eastAsia="el-GR"/>
              </w:rPr>
              <w:t xml:space="preserve"> </w:t>
            </w:r>
            <w:r>
              <w:rPr>
                <w:rFonts w:eastAsia="Times New Roman" w:cstheme="minorHAnsi"/>
                <w:sz w:val="16"/>
                <w:szCs w:val="16"/>
                <w:lang w:eastAsia="el-GR"/>
              </w:rPr>
              <w:t>προγράμματος εθελουσίας αποχώρησης</w:t>
            </w:r>
            <w:r w:rsidRPr="00381033">
              <w:rPr>
                <w:rFonts w:eastAsia="Times New Roman" w:cstheme="minorHAnsi"/>
                <w:sz w:val="16"/>
                <w:szCs w:val="16"/>
                <w:lang w:eastAsia="el-GR"/>
              </w:rPr>
              <w:t xml:space="preserve"> </w:t>
            </w:r>
            <w:r>
              <w:rPr>
                <w:rFonts w:eastAsia="Times New Roman" w:cstheme="minorHAnsi"/>
                <w:sz w:val="16"/>
                <w:szCs w:val="16"/>
                <w:lang w:eastAsia="el-GR"/>
              </w:rPr>
              <w:t>€</w:t>
            </w:r>
            <w:r w:rsidRPr="00381033">
              <w:rPr>
                <w:rFonts w:eastAsia="Times New Roman" w:cstheme="minorHAnsi"/>
                <w:sz w:val="16"/>
                <w:szCs w:val="16"/>
                <w:lang w:eastAsia="el-GR"/>
              </w:rPr>
              <w:t xml:space="preserve">40 εκατ.σε </w:t>
            </w:r>
            <w:r>
              <w:rPr>
                <w:rFonts w:eastAsia="Times New Roman" w:cstheme="minorHAnsi"/>
                <w:sz w:val="16"/>
                <w:szCs w:val="16"/>
                <w:lang w:eastAsia="el-GR"/>
              </w:rPr>
              <w:t>δαπάνες</w:t>
            </w:r>
            <w:r w:rsidRPr="00381033">
              <w:rPr>
                <w:rFonts w:eastAsia="Times New Roman" w:cstheme="minorHAnsi"/>
                <w:sz w:val="16"/>
                <w:szCs w:val="16"/>
                <w:lang w:eastAsia="el-GR"/>
              </w:rPr>
              <w:t xml:space="preserve"> προσωπικού, </w:t>
            </w:r>
            <w:r>
              <w:rPr>
                <w:rFonts w:eastAsia="Times New Roman" w:cstheme="minorHAnsi"/>
                <w:sz w:val="16"/>
                <w:szCs w:val="16"/>
                <w:lang w:eastAsia="el-GR"/>
              </w:rPr>
              <w:t>€2.207 εκατ. έκτακτες</w:t>
            </w:r>
            <w:r w:rsidRPr="00381033">
              <w:rPr>
                <w:rFonts w:eastAsia="Times New Roman" w:cstheme="minorHAnsi"/>
                <w:sz w:val="16"/>
                <w:szCs w:val="16"/>
                <w:lang w:eastAsia="el-GR"/>
              </w:rPr>
              <w:t xml:space="preserve"> απομειώσεις σε δάνεια και άλλα περιουσιακά στοιχεία που σχετίζονται με το Phoenix &amp; Vega </w:t>
            </w:r>
            <w:r>
              <w:rPr>
                <w:rFonts w:eastAsia="Times New Roman" w:cstheme="minorHAnsi"/>
                <w:sz w:val="16"/>
                <w:szCs w:val="16"/>
                <w:lang w:eastAsia="el-GR"/>
              </w:rPr>
              <w:t xml:space="preserve">το </w:t>
            </w:r>
            <w:r w:rsidR="007F3F11">
              <w:rPr>
                <w:rFonts w:eastAsia="Times New Roman" w:cstheme="minorHAnsi"/>
                <w:sz w:val="16"/>
                <w:szCs w:val="16"/>
                <w:lang w:eastAsia="el-GR"/>
              </w:rPr>
              <w:t>εναπομείναν</w:t>
            </w:r>
            <w:r w:rsidRPr="00381033">
              <w:rPr>
                <w:rFonts w:eastAsia="Times New Roman" w:cstheme="minorHAnsi"/>
                <w:sz w:val="16"/>
                <w:szCs w:val="16"/>
                <w:lang w:eastAsia="el-GR"/>
              </w:rPr>
              <w:t xml:space="preserve"> 50% σεν</w:t>
            </w:r>
            <w:r>
              <w:rPr>
                <w:rFonts w:eastAsia="Times New Roman" w:cstheme="minorHAnsi"/>
                <w:sz w:val="16"/>
                <w:szCs w:val="16"/>
                <w:lang w:eastAsia="el-GR"/>
              </w:rPr>
              <w:t>α</w:t>
            </w:r>
            <w:r w:rsidRPr="00381033">
              <w:rPr>
                <w:rFonts w:eastAsia="Times New Roman" w:cstheme="minorHAnsi"/>
                <w:sz w:val="16"/>
                <w:szCs w:val="16"/>
                <w:lang w:eastAsia="el-GR"/>
              </w:rPr>
              <w:t>ρ</w:t>
            </w:r>
            <w:r>
              <w:rPr>
                <w:rFonts w:eastAsia="Times New Roman" w:cstheme="minorHAnsi"/>
                <w:sz w:val="16"/>
                <w:szCs w:val="16"/>
                <w:lang w:eastAsia="el-GR"/>
              </w:rPr>
              <w:t xml:space="preserve">ίου </w:t>
            </w:r>
            <w:r w:rsidRPr="00381033">
              <w:rPr>
                <w:rFonts w:eastAsia="Times New Roman" w:cstheme="minorHAnsi"/>
                <w:sz w:val="16"/>
                <w:szCs w:val="16"/>
                <w:lang w:eastAsia="el-GR"/>
              </w:rPr>
              <w:t>πώλησης και Sunrise 1 100% σενάριο πώλησης.</w:t>
            </w:r>
            <w:r w:rsidRPr="00136D12">
              <w:rPr>
                <w:rFonts w:eastAsia="Times New Roman" w:cstheme="minorHAnsi"/>
                <w:sz w:val="16"/>
                <w:szCs w:val="16"/>
                <w:lang w:eastAsia="el-GR"/>
              </w:rPr>
              <w:t xml:space="preserve"> Το 1</w:t>
            </w:r>
            <w:r w:rsidRPr="00136D12">
              <w:rPr>
                <w:rFonts w:eastAsia="Times New Roman" w:cstheme="minorHAnsi"/>
                <w:sz w:val="16"/>
                <w:szCs w:val="16"/>
                <w:vertAlign w:val="superscript"/>
                <w:lang w:eastAsia="el-GR"/>
              </w:rPr>
              <w:t>ο</w:t>
            </w:r>
            <w:r w:rsidRPr="00136D12">
              <w:rPr>
                <w:rFonts w:eastAsia="Times New Roman" w:cstheme="minorHAnsi"/>
                <w:sz w:val="16"/>
                <w:szCs w:val="16"/>
                <w:lang w:eastAsia="el-GR"/>
              </w:rPr>
              <w:t xml:space="preserve"> τρίμηνο 2021 και το 4</w:t>
            </w:r>
            <w:r w:rsidRPr="00136D12">
              <w:rPr>
                <w:rFonts w:eastAsia="Times New Roman" w:cstheme="minorHAnsi"/>
                <w:sz w:val="16"/>
                <w:szCs w:val="16"/>
                <w:vertAlign w:val="superscript"/>
                <w:lang w:eastAsia="el-GR"/>
              </w:rPr>
              <w:t>ο</w:t>
            </w:r>
            <w:r w:rsidRPr="00136D12">
              <w:rPr>
                <w:rFonts w:eastAsia="Times New Roman" w:cstheme="minorHAnsi"/>
                <w:sz w:val="16"/>
                <w:szCs w:val="16"/>
                <w:lang w:eastAsia="el-GR"/>
              </w:rPr>
              <w:t xml:space="preserve"> τρίμηνο του 2020 περιλαμβάνουν €329 εκατ και €277 εκατ έξοδο απομειώσεων συμπεριλαμβανομένης της επίπτωσης λόγω Covid-19 και και άλλων απομειώσεων σχετιζόμενων με το σχέδιο μείωσης αποθέματος NPEs. Το 4</w:t>
            </w:r>
            <w:r w:rsidRPr="00136D12">
              <w:rPr>
                <w:rFonts w:eastAsia="Times New Roman" w:cstheme="minorHAnsi"/>
                <w:sz w:val="16"/>
                <w:szCs w:val="16"/>
                <w:vertAlign w:val="superscript"/>
                <w:lang w:eastAsia="el-GR"/>
              </w:rPr>
              <w:t>ο</w:t>
            </w:r>
            <w:r w:rsidRPr="00136D12">
              <w:rPr>
                <w:rFonts w:eastAsia="Times New Roman" w:cstheme="minorHAnsi"/>
                <w:sz w:val="16"/>
                <w:szCs w:val="16"/>
                <w:lang w:eastAsia="el-GR"/>
              </w:rPr>
              <w:t xml:space="preserve"> τρίμηνο 2020 περιλαμβάνει €147εκατ. δαπάνες VES </w:t>
            </w:r>
          </w:p>
        </w:tc>
      </w:tr>
      <w:tr w:rsidR="00EA6E38" w:rsidRPr="00253EBA" w14:paraId="351F8BCC" w14:textId="77777777" w:rsidTr="00F41D49">
        <w:trPr>
          <w:trHeight w:val="260"/>
        </w:trPr>
        <w:tc>
          <w:tcPr>
            <w:tcW w:w="399" w:type="dxa"/>
            <w:tcBorders>
              <w:top w:val="nil"/>
              <w:left w:val="single" w:sz="6" w:space="0" w:color="3A73AE"/>
              <w:bottom w:val="single" w:sz="6" w:space="0" w:color="3A73AE"/>
              <w:right w:val="single" w:sz="6" w:space="0" w:color="3A73AE"/>
            </w:tcBorders>
            <w:shd w:val="clear" w:color="auto" w:fill="auto"/>
            <w:vAlign w:val="center"/>
          </w:tcPr>
          <w:p w14:paraId="6B3196F9" w14:textId="77777777" w:rsidR="00EA6E38" w:rsidRPr="00D60852" w:rsidRDefault="00EA6E38" w:rsidP="00EA6E38">
            <w:pPr>
              <w:jc w:val="center"/>
              <w:rPr>
                <w:rFonts w:cstheme="minorHAnsi"/>
                <w:sz w:val="16"/>
                <w:szCs w:val="16"/>
                <w:lang w:val="en-US"/>
              </w:rPr>
            </w:pPr>
            <w:r>
              <w:rPr>
                <w:rFonts w:cstheme="minorHAnsi"/>
                <w:sz w:val="16"/>
                <w:szCs w:val="16"/>
                <w:lang w:val="en-US"/>
              </w:rPr>
              <w:t>34</w:t>
            </w:r>
          </w:p>
        </w:tc>
        <w:tc>
          <w:tcPr>
            <w:tcW w:w="2398" w:type="dxa"/>
            <w:tcBorders>
              <w:top w:val="nil"/>
              <w:left w:val="nil"/>
              <w:bottom w:val="single" w:sz="6" w:space="0" w:color="3A73AE"/>
              <w:right w:val="single" w:sz="6" w:space="0" w:color="3A73AE"/>
            </w:tcBorders>
            <w:shd w:val="clear" w:color="auto" w:fill="auto"/>
          </w:tcPr>
          <w:p w14:paraId="6879B3AF" w14:textId="77777777" w:rsidR="00EA6E38" w:rsidRPr="00B27E9B" w:rsidRDefault="00EA6E38" w:rsidP="00EA6E38">
            <w:pPr>
              <w:rPr>
                <w:rFonts w:eastAsia="Times New Roman" w:cstheme="minorHAnsi"/>
                <w:b/>
                <w:sz w:val="16"/>
                <w:szCs w:val="16"/>
                <w:lang w:eastAsia="el-GR"/>
              </w:rPr>
            </w:pPr>
            <w:r w:rsidRPr="00B27E9B">
              <w:rPr>
                <w:rFonts w:eastAsia="Times New Roman" w:cstheme="minorHAnsi"/>
                <w:b/>
                <w:sz w:val="16"/>
                <w:szCs w:val="16"/>
                <w:lang w:eastAsia="el-GR"/>
              </w:rPr>
              <w:t>Σωρευμένες Προβλέψεις </w:t>
            </w:r>
          </w:p>
        </w:tc>
        <w:tc>
          <w:tcPr>
            <w:tcW w:w="5997" w:type="dxa"/>
            <w:tcBorders>
              <w:top w:val="nil"/>
              <w:left w:val="nil"/>
              <w:bottom w:val="single" w:sz="6" w:space="0" w:color="3A73AE"/>
              <w:right w:val="single" w:sz="6" w:space="0" w:color="3A73AE"/>
            </w:tcBorders>
            <w:shd w:val="clear" w:color="auto" w:fill="FFFFFF"/>
          </w:tcPr>
          <w:p w14:paraId="1FEF29B3" w14:textId="77777777" w:rsidR="00EA6E38" w:rsidRPr="00136D12" w:rsidRDefault="00EA6E38" w:rsidP="00EA6E38">
            <w:pPr>
              <w:rPr>
                <w:rFonts w:eastAsia="Times New Roman" w:cstheme="minorHAnsi"/>
                <w:sz w:val="16"/>
                <w:szCs w:val="16"/>
                <w:lang w:eastAsia="el-GR"/>
              </w:rPr>
            </w:pPr>
            <w:r w:rsidRPr="00136D12">
              <w:rPr>
                <w:rFonts w:eastAsia="Times New Roman" w:cstheme="minorHAnsi"/>
                <w:sz w:val="16"/>
                <w:szCs w:val="16"/>
                <w:lang w:eastAsia="el-GR"/>
              </w:rPr>
              <w:t>Αναμενόμενες πιστωτικές ζημίες</w:t>
            </w:r>
          </w:p>
        </w:tc>
      </w:tr>
    </w:tbl>
    <w:p w14:paraId="355BC28E" w14:textId="4BF34788" w:rsidR="0047440D" w:rsidRPr="00CD2E41" w:rsidRDefault="0047440D" w:rsidP="00CE52CE">
      <w:pPr>
        <w:ind w:left="-1080"/>
        <w:rPr>
          <w:rFonts w:ascii="Calibri" w:eastAsia="Calibri" w:hAnsi="Calibri"/>
          <w:color w:val="FF0000"/>
          <w:kern w:val="24"/>
          <w:sz w:val="15"/>
          <w:szCs w:val="15"/>
          <w:lang w:val="en-US"/>
        </w:rPr>
      </w:pPr>
    </w:p>
    <w:p w14:paraId="1C438B51" w14:textId="77777777" w:rsidR="00E5750E" w:rsidRPr="00CD2E41" w:rsidRDefault="00E5750E">
      <w:pPr>
        <w:rPr>
          <w:rFonts w:ascii="Calibri" w:eastAsia="Calibri" w:hAnsi="Calibri"/>
          <w:color w:val="FF0000"/>
          <w:kern w:val="24"/>
          <w:sz w:val="15"/>
          <w:szCs w:val="15"/>
          <w:lang w:val="en-US"/>
        </w:rPr>
      </w:pPr>
      <w:r w:rsidRPr="00CD2E41">
        <w:rPr>
          <w:rFonts w:ascii="Calibri" w:eastAsia="Calibri" w:hAnsi="Calibri"/>
          <w:color w:val="FF0000"/>
          <w:kern w:val="24"/>
          <w:sz w:val="15"/>
          <w:szCs w:val="15"/>
          <w:lang w:val="en-US"/>
        </w:rPr>
        <w:br w:type="page"/>
      </w:r>
    </w:p>
    <w:p w14:paraId="71709031" w14:textId="77777777" w:rsidR="00CE52CE" w:rsidRPr="00CE52CE" w:rsidRDefault="00CE52CE" w:rsidP="00CE52CE">
      <w:pPr>
        <w:spacing w:line="300" w:lineRule="exact"/>
        <w:ind w:left="-1134" w:right="282"/>
        <w:jc w:val="both"/>
        <w:rPr>
          <w:rFonts w:ascii="Calibri Light" w:hAnsi="Calibri Light" w:cs="Times New Roman"/>
          <w:b/>
          <w:i/>
          <w:sz w:val="20"/>
          <w:szCs w:val="20"/>
          <w:u w:val="single"/>
        </w:rPr>
      </w:pPr>
      <w:r w:rsidRPr="00CE52CE">
        <w:rPr>
          <w:rFonts w:ascii="Calibri Light" w:hAnsi="Calibri Light" w:cs="Times New Roman"/>
          <w:b/>
          <w:i/>
          <w:sz w:val="20"/>
          <w:szCs w:val="20"/>
          <w:u w:val="single"/>
        </w:rPr>
        <w:lastRenderedPageBreak/>
        <w:t xml:space="preserve">Δήλωση Αποποίησης Ευθύνης </w:t>
      </w:r>
    </w:p>
    <w:p w14:paraId="3D992BBF" w14:textId="77777777" w:rsidR="00CE52CE" w:rsidRPr="00B64309" w:rsidRDefault="00CE52CE" w:rsidP="00CE52CE">
      <w:pPr>
        <w:spacing w:line="300" w:lineRule="exact"/>
        <w:ind w:left="-1134" w:right="282"/>
        <w:jc w:val="both"/>
        <w:rPr>
          <w:rFonts w:ascii="Calibri" w:eastAsia="Calibri" w:hAnsi="Calibri"/>
          <w:color w:val="000000" w:themeColor="text1"/>
          <w:kern w:val="24"/>
          <w:sz w:val="15"/>
          <w:szCs w:val="15"/>
        </w:rPr>
      </w:pPr>
      <w:r w:rsidRPr="00B64309">
        <w:rPr>
          <w:rFonts w:ascii="Calibri" w:eastAsia="Calibri" w:hAnsi="Calibri"/>
          <w:color w:val="000000" w:themeColor="text1"/>
          <w:kern w:val="24"/>
          <w:sz w:val="15"/>
          <w:szCs w:val="15"/>
        </w:rPr>
        <w:t>Η παρούσα ανακοίνωση έχει συνταχθεί αποκλειστικά για ενημερωτικούς σκοπούς. Οποιεσδήποτε προβλέψεις ή άλλες εκτιμήσεις στην παρούσα ανακοίνωση, συμπεριλαμβανομένων εκτιμήσεων αναφορικά με την απόδοση και την επίδοσή μας και παρατηρήσεων αναφορικά με τους στόχους και τη στρατηγική μας ή τα αποτελέσματα των δραστηριοτήτων και επιχειρήσεών μας, υπερισχύουν τυχόν προηγούμενων σχετικών προβλέψεων ή άλλων εκτιμήσεων και αποτελούν δηλώσεις για μελλοντικές εκτιμήσεις βασισμένες σε υποθέσεις και πεποιθήσεις, σε συνάρτηση με πληροφόρηση που είναι διαθέσιμη προς το παρόν στην Τράπεζα, η οποία μπορεί να μην είναι η ορθή. Αυτές οι υποθέσεις και πεποιθήσεις μπορεί να επηρεάζονται από παράγοντες που βρίσκονται εντός ή εκτός του ελέγχου μας και τα πραγματικά αποτελέσματα μπορεί να αποκλίνουν σημαντικά από οποιεσδήποτε εκτιμήσεις και προβλέψεις. Παράγοντες που επηρεάζουν τα πραγματικά αποτελέσματα περιλαμβάνουν, μεταξύ άλλων, διακυμάνσεις των επιτοκίων και των χρηματιστηριακών δεικτών, τις επιπτώσεις του ανταγωνισμού στους τομείς στους οποίους δραστηριοποιούμαστε και τις αλλαγές στις οικονομικές συνθήκες και στο κανονιστικό πλαίσιο.</w:t>
      </w:r>
    </w:p>
    <w:p w14:paraId="38301B13" w14:textId="77777777" w:rsidR="00CE52CE" w:rsidRPr="00B64309" w:rsidRDefault="00CE52CE" w:rsidP="00CE52CE">
      <w:pPr>
        <w:spacing w:line="300" w:lineRule="exact"/>
        <w:ind w:left="-1134" w:right="282"/>
        <w:jc w:val="both"/>
        <w:rPr>
          <w:rFonts w:ascii="Calibri" w:eastAsia="Calibri" w:hAnsi="Calibri"/>
          <w:color w:val="000000" w:themeColor="text1"/>
          <w:kern w:val="24"/>
          <w:sz w:val="15"/>
          <w:szCs w:val="15"/>
        </w:rPr>
      </w:pPr>
      <w:r w:rsidRPr="00B64309">
        <w:rPr>
          <w:rFonts w:ascii="Calibri" w:eastAsia="Calibri" w:hAnsi="Calibri"/>
          <w:color w:val="000000" w:themeColor="text1"/>
          <w:kern w:val="24"/>
          <w:sz w:val="15"/>
          <w:szCs w:val="15"/>
        </w:rPr>
        <w:t>Αυτό το δελτίο τύπου δεν αποτελεί προσφορά αγοράς ή πώλησης ή διαμεσολάβηση προσφοράς για αγορά ή πώληση οποιουδήποτε χρεογράφου ή μέσου ή για συμμετοχή σε οποιαδήποτε επενδυτική στρατηγική. Κανένα μέρος αυτού του δελτίου τύπου δεν μπορεί να θεωρηθεί ως επενδυτική συμβουλή ή σύσταση για πραγματοποίηση οποιασδήποτε συναλλαγής. Δεν παρέχεται καμία δήλωση ή εγγύηση σχετικά με την ακρίβεια ή την πληρότητα των πληροφοριών που περιέχονται σε αυτό το δελτίο τύπου και κανένας ισχυρισμός δεν γίνεται ότι οποιαδήποτε μελλοντική προσφορά για συναλλαγή οποιωνδήποτε χρεογράφων θα συμμορφώνεται με τυχόν όρους που πιθανόν να περιλαμβάνονται στο παρόν. Πριν από οποιαδήποτε συναλλαγή, οι επενδυτές θα πρέπει να προσδιορίσουν τους οικονομικούς κινδύνους και τα οφέλη, καθώς και τις νομικές, φορολογικές και λογιστικές συνέπειες, καθώς και την ικανότητά τους να αναλάβουν τέτοιους κινδύνους, χωρίς να βασίζονται στις πληροφορίες που περιέχονται στο παρόν δελτίο τύπου.</w:t>
      </w:r>
    </w:p>
    <w:p w14:paraId="288B75D4" w14:textId="77777777" w:rsidR="00CE52CE" w:rsidRPr="00B64309" w:rsidRDefault="00CE52CE" w:rsidP="00CE52CE">
      <w:pPr>
        <w:spacing w:after="120"/>
        <w:ind w:left="-142"/>
        <w:jc w:val="both"/>
        <w:rPr>
          <w:rFonts w:ascii="Calibri" w:eastAsia="Calibri" w:hAnsi="Calibri"/>
          <w:b/>
          <w:color w:val="000000" w:themeColor="text1"/>
          <w:kern w:val="24"/>
          <w:sz w:val="18"/>
          <w:szCs w:val="18"/>
        </w:rPr>
      </w:pPr>
    </w:p>
    <w:p w14:paraId="09341C43" w14:textId="77777777" w:rsidR="00CE52CE" w:rsidRPr="000455E0" w:rsidRDefault="00CE52CE" w:rsidP="00CE52CE">
      <w:pPr>
        <w:spacing w:after="120"/>
        <w:ind w:left="-1134"/>
        <w:jc w:val="both"/>
        <w:rPr>
          <w:rFonts w:ascii="Calibri" w:eastAsia="Calibri" w:hAnsi="Calibri"/>
          <w:b/>
          <w:kern w:val="24"/>
          <w:sz w:val="18"/>
          <w:szCs w:val="18"/>
        </w:rPr>
      </w:pPr>
      <w:r>
        <w:rPr>
          <w:rFonts w:ascii="Calibri" w:eastAsia="Calibri" w:hAnsi="Calibri"/>
          <w:b/>
          <w:kern w:val="24"/>
          <w:sz w:val="18"/>
          <w:szCs w:val="18"/>
        </w:rPr>
        <w:t>Ενημέρωση Επενδυτών</w:t>
      </w:r>
    </w:p>
    <w:p w14:paraId="2F2CEC70" w14:textId="77777777" w:rsidR="00CE52CE" w:rsidRPr="004D43B4" w:rsidRDefault="00CE52CE" w:rsidP="00CE52CE">
      <w:pPr>
        <w:spacing w:after="120"/>
        <w:ind w:left="-1134"/>
        <w:jc w:val="both"/>
        <w:rPr>
          <w:rFonts w:ascii="Calibri" w:eastAsia="Calibri" w:hAnsi="Calibri"/>
          <w:kern w:val="24"/>
          <w:sz w:val="15"/>
          <w:szCs w:val="15"/>
        </w:rPr>
      </w:pPr>
      <w:r w:rsidRPr="00FA0F02">
        <w:rPr>
          <w:rFonts w:ascii="Calibri" w:eastAsia="Calibri" w:hAnsi="Calibri"/>
          <w:kern w:val="24"/>
          <w:sz w:val="15"/>
          <w:szCs w:val="15"/>
        </w:rPr>
        <w:t>Αμερικής</w:t>
      </w:r>
      <w:r w:rsidRPr="004D43B4">
        <w:rPr>
          <w:rFonts w:ascii="Calibri" w:eastAsia="Calibri" w:hAnsi="Calibri"/>
          <w:kern w:val="24"/>
          <w:sz w:val="15"/>
          <w:szCs w:val="15"/>
        </w:rPr>
        <w:t xml:space="preserve"> 4, 105 64 Αθ</w:t>
      </w:r>
      <w:r w:rsidRPr="00FA0F02">
        <w:rPr>
          <w:rFonts w:ascii="Calibri" w:eastAsia="Calibri" w:hAnsi="Calibri"/>
          <w:kern w:val="24"/>
          <w:sz w:val="15"/>
          <w:szCs w:val="15"/>
        </w:rPr>
        <w:t>ήνα</w:t>
      </w:r>
    </w:p>
    <w:p w14:paraId="69776412" w14:textId="77777777" w:rsidR="00CE52CE" w:rsidRPr="000455E0" w:rsidRDefault="00CE52CE" w:rsidP="00CE52CE">
      <w:pPr>
        <w:spacing w:after="120"/>
        <w:ind w:left="-1134"/>
        <w:jc w:val="both"/>
        <w:rPr>
          <w:rFonts w:ascii="Calibri" w:eastAsia="Calibri" w:hAnsi="Calibri"/>
          <w:kern w:val="24"/>
          <w:sz w:val="15"/>
          <w:szCs w:val="15"/>
        </w:rPr>
      </w:pPr>
      <w:r w:rsidRPr="004D43B4">
        <w:rPr>
          <w:rFonts w:ascii="Calibri" w:eastAsia="Calibri" w:hAnsi="Calibri"/>
          <w:kern w:val="24"/>
          <w:sz w:val="15"/>
          <w:szCs w:val="15"/>
        </w:rPr>
        <w:t xml:space="preserve">Τηλ. : (+30 ) 210 </w:t>
      </w:r>
      <w:r>
        <w:rPr>
          <w:rFonts w:ascii="Calibri" w:eastAsia="Calibri" w:hAnsi="Calibri"/>
          <w:kern w:val="24"/>
          <w:sz w:val="15"/>
          <w:szCs w:val="15"/>
        </w:rPr>
        <w:t>3335818</w:t>
      </w:r>
    </w:p>
    <w:p w14:paraId="2446E926" w14:textId="77777777" w:rsidR="00CE52CE" w:rsidRPr="00427967" w:rsidRDefault="00CE52CE" w:rsidP="00CE52CE">
      <w:pPr>
        <w:spacing w:after="120"/>
        <w:ind w:left="-1134"/>
        <w:jc w:val="both"/>
        <w:rPr>
          <w:rFonts w:ascii="Calibri" w:eastAsia="Calibri" w:hAnsi="Calibri"/>
          <w:kern w:val="24"/>
          <w:sz w:val="15"/>
          <w:szCs w:val="15"/>
          <w:lang w:val="en-US"/>
        </w:rPr>
      </w:pPr>
      <w:r w:rsidRPr="00FA0F02">
        <w:rPr>
          <w:rFonts w:ascii="Calibri" w:eastAsia="Calibri" w:hAnsi="Calibri"/>
          <w:kern w:val="24"/>
          <w:sz w:val="15"/>
          <w:szCs w:val="15"/>
          <w:lang w:val="en-US"/>
        </w:rPr>
        <w:t>Bloomberg</w:t>
      </w:r>
      <w:r w:rsidRPr="00427967">
        <w:rPr>
          <w:rFonts w:ascii="Calibri" w:eastAsia="Calibri" w:hAnsi="Calibri"/>
          <w:kern w:val="24"/>
          <w:sz w:val="15"/>
          <w:szCs w:val="15"/>
          <w:lang w:val="en-US"/>
        </w:rPr>
        <w:t xml:space="preserve">: </w:t>
      </w:r>
      <w:r w:rsidRPr="00FA0F02">
        <w:rPr>
          <w:rFonts w:ascii="Calibri" w:eastAsia="Calibri" w:hAnsi="Calibri"/>
          <w:kern w:val="24"/>
          <w:sz w:val="15"/>
          <w:szCs w:val="15"/>
          <w:lang w:val="en-US"/>
        </w:rPr>
        <w:t>TPEIR</w:t>
      </w:r>
      <w:r w:rsidRPr="00427967">
        <w:rPr>
          <w:rFonts w:ascii="Calibri" w:eastAsia="Calibri" w:hAnsi="Calibri"/>
          <w:kern w:val="24"/>
          <w:sz w:val="15"/>
          <w:szCs w:val="15"/>
          <w:lang w:val="en-US"/>
        </w:rPr>
        <w:t xml:space="preserve"> </w:t>
      </w:r>
      <w:r w:rsidRPr="00FA0F02">
        <w:rPr>
          <w:rFonts w:ascii="Calibri" w:eastAsia="Calibri" w:hAnsi="Calibri"/>
          <w:kern w:val="24"/>
          <w:sz w:val="15"/>
          <w:szCs w:val="15"/>
          <w:lang w:val="en-US"/>
        </w:rPr>
        <w:t>GA</w:t>
      </w:r>
      <w:r w:rsidRPr="00427967">
        <w:rPr>
          <w:rFonts w:ascii="Calibri" w:eastAsia="Calibri" w:hAnsi="Calibri"/>
          <w:kern w:val="24"/>
          <w:sz w:val="15"/>
          <w:szCs w:val="15"/>
          <w:lang w:val="en-US"/>
        </w:rPr>
        <w:t xml:space="preserve"> | </w:t>
      </w:r>
      <w:r w:rsidRPr="00FA0F02">
        <w:rPr>
          <w:rFonts w:ascii="Calibri" w:eastAsia="Calibri" w:hAnsi="Calibri"/>
          <w:kern w:val="24"/>
          <w:sz w:val="15"/>
          <w:szCs w:val="15"/>
          <w:lang w:val="en-US"/>
        </w:rPr>
        <w:t>Reuters</w:t>
      </w:r>
      <w:r w:rsidRPr="00427967">
        <w:rPr>
          <w:rFonts w:ascii="Calibri" w:eastAsia="Calibri" w:hAnsi="Calibri"/>
          <w:kern w:val="24"/>
          <w:sz w:val="15"/>
          <w:szCs w:val="15"/>
          <w:lang w:val="en-US"/>
        </w:rPr>
        <w:t xml:space="preserve">: </w:t>
      </w:r>
      <w:r w:rsidRPr="00FA0F02">
        <w:rPr>
          <w:rFonts w:ascii="Calibri" w:eastAsia="Calibri" w:hAnsi="Calibri"/>
          <w:kern w:val="24"/>
          <w:sz w:val="15"/>
          <w:szCs w:val="15"/>
          <w:lang w:val="en-US"/>
        </w:rPr>
        <w:t>BOPr</w:t>
      </w:r>
      <w:r w:rsidRPr="00427967">
        <w:rPr>
          <w:rFonts w:ascii="Calibri" w:eastAsia="Calibri" w:hAnsi="Calibri"/>
          <w:kern w:val="24"/>
          <w:sz w:val="15"/>
          <w:szCs w:val="15"/>
          <w:lang w:val="en-US"/>
        </w:rPr>
        <w:t>.</w:t>
      </w:r>
      <w:r w:rsidRPr="00FA0F02">
        <w:rPr>
          <w:rFonts w:ascii="Calibri" w:eastAsia="Calibri" w:hAnsi="Calibri"/>
          <w:kern w:val="24"/>
          <w:sz w:val="15"/>
          <w:szCs w:val="15"/>
          <w:lang w:val="en-US"/>
        </w:rPr>
        <w:t>AT</w:t>
      </w:r>
      <w:r w:rsidRPr="00427967">
        <w:rPr>
          <w:rFonts w:ascii="Calibri" w:eastAsia="Calibri" w:hAnsi="Calibri"/>
          <w:kern w:val="24"/>
          <w:sz w:val="15"/>
          <w:szCs w:val="15"/>
          <w:lang w:val="en-US"/>
        </w:rPr>
        <w:t xml:space="preserve"> </w:t>
      </w:r>
    </w:p>
    <w:p w14:paraId="4F6B0BC7" w14:textId="77777777" w:rsidR="00CE52CE" w:rsidRPr="00FA0F02" w:rsidRDefault="00CE52CE" w:rsidP="00CE52CE">
      <w:pPr>
        <w:spacing w:after="120"/>
        <w:ind w:left="-1134"/>
        <w:jc w:val="both"/>
        <w:rPr>
          <w:rFonts w:ascii="Calibri" w:eastAsia="Calibri" w:hAnsi="Calibri"/>
          <w:kern w:val="24"/>
          <w:sz w:val="15"/>
          <w:szCs w:val="15"/>
          <w:lang w:val="en-US"/>
        </w:rPr>
      </w:pPr>
      <w:r w:rsidRPr="00FA0F02">
        <w:rPr>
          <w:rFonts w:ascii="Calibri" w:eastAsia="Calibri" w:hAnsi="Calibri"/>
          <w:kern w:val="24"/>
          <w:sz w:val="15"/>
          <w:szCs w:val="15"/>
          <w:lang w:val="en-US"/>
        </w:rPr>
        <w:t xml:space="preserve">ISIN: GRS014003024  </w:t>
      </w:r>
    </w:p>
    <w:p w14:paraId="58AFBB3E" w14:textId="77777777" w:rsidR="00CE52CE" w:rsidRPr="00FA0F02" w:rsidRDefault="00CE52CE" w:rsidP="00CE52CE">
      <w:pPr>
        <w:spacing w:after="120"/>
        <w:ind w:left="-1134"/>
        <w:jc w:val="both"/>
        <w:rPr>
          <w:rFonts w:ascii="Calibri" w:eastAsia="Calibri" w:hAnsi="Calibri"/>
          <w:kern w:val="24"/>
          <w:sz w:val="15"/>
          <w:szCs w:val="15"/>
          <w:lang w:val="en-US"/>
        </w:rPr>
      </w:pPr>
      <w:r w:rsidRPr="00FA0F02">
        <w:rPr>
          <w:rFonts w:ascii="Calibri" w:eastAsia="Calibri" w:hAnsi="Calibri"/>
          <w:kern w:val="24"/>
          <w:sz w:val="15"/>
          <w:szCs w:val="15"/>
          <w:lang w:val="en-US"/>
        </w:rPr>
        <w:t>investor_relations@</w:t>
      </w:r>
      <w:r>
        <w:rPr>
          <w:rFonts w:ascii="Calibri" w:eastAsia="Calibri" w:hAnsi="Calibri"/>
          <w:kern w:val="24"/>
          <w:sz w:val="15"/>
          <w:szCs w:val="15"/>
          <w:lang w:val="en-US"/>
        </w:rPr>
        <w:t>piraeusholdings</w:t>
      </w:r>
      <w:r w:rsidRPr="00FA0F02">
        <w:rPr>
          <w:rFonts w:ascii="Calibri" w:eastAsia="Calibri" w:hAnsi="Calibri"/>
          <w:kern w:val="24"/>
          <w:sz w:val="15"/>
          <w:szCs w:val="15"/>
          <w:lang w:val="en-US"/>
        </w:rPr>
        <w:t>.gr</w:t>
      </w:r>
    </w:p>
    <w:p w14:paraId="68AF0D37" w14:textId="77777777" w:rsidR="00CE52CE" w:rsidRPr="00BB245A" w:rsidRDefault="00CE52CE" w:rsidP="00CE52CE">
      <w:pPr>
        <w:spacing w:after="120"/>
        <w:ind w:left="-1134"/>
        <w:jc w:val="both"/>
        <w:rPr>
          <w:rFonts w:ascii="Calibri" w:eastAsia="Calibri" w:hAnsi="Calibri"/>
          <w:color w:val="000000" w:themeColor="text1"/>
          <w:kern w:val="24"/>
          <w:sz w:val="15"/>
          <w:szCs w:val="15"/>
          <w:lang w:val="en-US"/>
        </w:rPr>
      </w:pPr>
      <w:r w:rsidRPr="00FA0F02">
        <w:rPr>
          <w:rFonts w:ascii="Calibri" w:eastAsia="Calibri" w:hAnsi="Calibri"/>
          <w:kern w:val="24"/>
          <w:sz w:val="15"/>
          <w:szCs w:val="15"/>
          <w:lang w:val="en-US"/>
        </w:rPr>
        <w:t>www.</w:t>
      </w:r>
      <w:r>
        <w:rPr>
          <w:rFonts w:ascii="Calibri" w:eastAsia="Calibri" w:hAnsi="Calibri"/>
          <w:kern w:val="24"/>
          <w:sz w:val="15"/>
          <w:szCs w:val="15"/>
          <w:lang w:val="en-US"/>
        </w:rPr>
        <w:t>piraeusholdings</w:t>
      </w:r>
      <w:r w:rsidRPr="00FA0F02">
        <w:rPr>
          <w:rFonts w:ascii="Calibri" w:eastAsia="Calibri" w:hAnsi="Calibri"/>
          <w:kern w:val="24"/>
          <w:sz w:val="15"/>
          <w:szCs w:val="15"/>
          <w:lang w:val="en-US"/>
        </w:rPr>
        <w:t>.</w:t>
      </w:r>
      <w:r>
        <w:rPr>
          <w:rFonts w:ascii="Calibri" w:eastAsia="Calibri" w:hAnsi="Calibri"/>
          <w:kern w:val="24"/>
          <w:sz w:val="15"/>
          <w:szCs w:val="15"/>
          <w:lang w:val="en-US"/>
        </w:rPr>
        <w:t>gr</w:t>
      </w:r>
    </w:p>
    <w:p w14:paraId="1E9AF310" w14:textId="77777777" w:rsidR="00CE52CE" w:rsidRPr="00BB245A" w:rsidRDefault="00CE52CE" w:rsidP="00CE52CE">
      <w:pPr>
        <w:spacing w:after="120" w:line="264" w:lineRule="auto"/>
        <w:ind w:left="-1080"/>
        <w:jc w:val="both"/>
        <w:rPr>
          <w:rFonts w:ascii="Calibri" w:eastAsia="Calibri" w:hAnsi="Calibri"/>
          <w:color w:val="000000" w:themeColor="text1"/>
          <w:kern w:val="24"/>
          <w:sz w:val="15"/>
          <w:szCs w:val="15"/>
          <w:lang w:val="en-US"/>
        </w:rPr>
      </w:pPr>
    </w:p>
    <w:p w14:paraId="56C547D4" w14:textId="4AC18470" w:rsidR="00CA0A30" w:rsidRPr="00BB245A" w:rsidRDefault="00CA0A30" w:rsidP="00CE52CE">
      <w:pPr>
        <w:spacing w:line="300" w:lineRule="exact"/>
        <w:ind w:left="-1134" w:right="282"/>
        <w:jc w:val="both"/>
        <w:rPr>
          <w:rFonts w:ascii="Calibri" w:eastAsia="Calibri" w:hAnsi="Calibri"/>
          <w:color w:val="000000" w:themeColor="text1"/>
          <w:kern w:val="24"/>
          <w:sz w:val="15"/>
          <w:szCs w:val="15"/>
          <w:lang w:val="en-US"/>
        </w:rPr>
      </w:pPr>
    </w:p>
    <w:sectPr w:rsidR="00CA0A30" w:rsidRPr="00BB245A" w:rsidSect="004072CD">
      <w:headerReference w:type="default" r:id="rId13"/>
      <w:footerReference w:type="default" r:id="rId14"/>
      <w:headerReference w:type="first" r:id="rId15"/>
      <w:footerReference w:type="first" r:id="rId16"/>
      <w:pgSz w:w="11906" w:h="16838" w:code="9"/>
      <w:pgMar w:top="2410" w:right="1016" w:bottom="1134" w:left="297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728A8" w14:textId="77777777" w:rsidR="00FD222F" w:rsidRDefault="00FD222F" w:rsidP="00A14E18">
      <w:pPr>
        <w:spacing w:after="0" w:line="240" w:lineRule="auto"/>
      </w:pPr>
      <w:r>
        <w:separator/>
      </w:r>
    </w:p>
  </w:endnote>
  <w:endnote w:type="continuationSeparator" w:id="0">
    <w:p w14:paraId="0778D6F0" w14:textId="77777777" w:rsidR="00FD222F" w:rsidRDefault="00FD222F" w:rsidP="00A14E18">
      <w:pPr>
        <w:spacing w:after="0" w:line="240" w:lineRule="auto"/>
      </w:pPr>
      <w:r>
        <w:continuationSeparator/>
      </w:r>
    </w:p>
  </w:endnote>
  <w:endnote w:type="continuationNotice" w:id="1">
    <w:p w14:paraId="74FEFBA1" w14:textId="77777777" w:rsidR="00FD222F" w:rsidRDefault="00FD22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Piraeus Sans">
    <w:altName w:val="Calibri"/>
    <w:charset w:val="00"/>
    <w:family w:val="swiss"/>
    <w:pitch w:val="variable"/>
    <w:sig w:usb0="00000083" w:usb1="4000205A" w:usb2="00000000" w:usb3="00000000" w:csb0="00000009"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2577A" w14:textId="77777777" w:rsidR="00EA6E38" w:rsidRDefault="00EA6E38" w:rsidP="006E0C7E">
    <w:pPr>
      <w:pStyle w:val="Footer"/>
      <w:ind w:right="-427"/>
      <w:jc w:val="right"/>
    </w:pPr>
    <w:r>
      <w:rPr>
        <w:noProof/>
        <w:lang w:eastAsia="el-GR"/>
      </w:rPr>
      <mc:AlternateContent>
        <mc:Choice Requires="wps">
          <w:drawing>
            <wp:anchor distT="0" distB="0" distL="114300" distR="114300" simplePos="0" relativeHeight="251674624" behindDoc="0" locked="0" layoutInCell="1" allowOverlap="1" wp14:anchorId="5DF8EC4B" wp14:editId="6687DE60">
              <wp:simplePos x="0" y="0"/>
              <wp:positionH relativeFrom="column">
                <wp:posOffset>-1198245</wp:posOffset>
              </wp:positionH>
              <wp:positionV relativeFrom="paragraph">
                <wp:posOffset>282575</wp:posOffset>
              </wp:positionV>
              <wp:extent cx="438785" cy="379730"/>
              <wp:effectExtent l="0" t="0" r="18415" b="127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7525C" w14:textId="4886CCD8" w:rsidR="00EA6E38" w:rsidRPr="00F433F2" w:rsidRDefault="00EA6E38" w:rsidP="00FE022E">
                          <w:pPr>
                            <w:jc w:val="right"/>
                            <w:rPr>
                              <w:b/>
                              <w:color w:val="023E87"/>
                            </w:rPr>
                          </w:pPr>
                          <w:r w:rsidRPr="00F433F2">
                            <w:rPr>
                              <w:b/>
                              <w:color w:val="023E87"/>
                            </w:rPr>
                            <w:fldChar w:fldCharType="begin"/>
                          </w:r>
                          <w:r w:rsidRPr="00F433F2">
                            <w:rPr>
                              <w:b/>
                              <w:color w:val="023E87"/>
                            </w:rPr>
                            <w:instrText xml:space="preserve"> PAGE   \* MERGEFORMAT </w:instrText>
                          </w:r>
                          <w:r w:rsidRPr="00F433F2">
                            <w:rPr>
                              <w:b/>
                              <w:color w:val="023E87"/>
                            </w:rPr>
                            <w:fldChar w:fldCharType="separate"/>
                          </w:r>
                          <w:r w:rsidR="007B52A8">
                            <w:rPr>
                              <w:b/>
                              <w:noProof/>
                              <w:color w:val="023E87"/>
                            </w:rPr>
                            <w:t>12</w:t>
                          </w:r>
                          <w:r w:rsidRPr="00F433F2">
                            <w:rPr>
                              <w:b/>
                              <w:color w:val="023E87"/>
                            </w:rPr>
                            <w:fldChar w:fldCharType="end"/>
                          </w:r>
                        </w:p>
                      </w:txbxContent>
                    </wps:txbx>
                    <wps:bodyPr rot="0" vert="horz" wrap="square" lIns="91440" tIns="45720" rIns="0" bIns="45720" anchor="t" anchorCtr="0" upright="1">
                      <a:noAutofit/>
                    </wps:bodyPr>
                  </wps:wsp>
                </a:graphicData>
              </a:graphic>
            </wp:anchor>
          </w:drawing>
        </mc:Choice>
        <mc:Fallback>
          <w:pict>
            <v:shapetype w14:anchorId="5DF8EC4B" id="_x0000_t202" coordsize="21600,21600" o:spt="202" path="m,l,21600r21600,l21600,xe">
              <v:stroke joinstyle="miter"/>
              <v:path gradientshapeok="t" o:connecttype="rect"/>
            </v:shapetype>
            <v:shape id="Text Box 13" o:spid="_x0000_s1034" type="#_x0000_t202" style="position:absolute;left:0;text-align:left;margin-left:-94.35pt;margin-top:22.25pt;width:34.55pt;height:29.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" filled="f" stroked="f">
              <v:textbox inset=",,0">
                <w:txbxContent>
                  <w:p w14:paraId="7F57525C" w14:textId="4886CCD8" w:rsidR="00EA6E38" w:rsidRPr="00F433F2" w:rsidRDefault="00EA6E38" w:rsidP="00FE022E">
                    <w:pPr>
                      <w:jc w:val="right"/>
                      <w:rPr>
                        <w:b/>
                        <w:color w:val="023E87"/>
                      </w:rPr>
                    </w:pPr>
                    <w:r w:rsidRPr="00F433F2">
                      <w:rPr>
                        <w:b/>
                        <w:color w:val="023E87"/>
                      </w:rPr>
                      <w:fldChar w:fldCharType="begin"/>
                    </w:r>
                    <w:r w:rsidRPr="00F433F2">
                      <w:rPr>
                        <w:b/>
                        <w:color w:val="023E87"/>
                      </w:rPr>
                      <w:instrText xml:space="preserve"> PAGE   \* MERGEFORMAT </w:instrText>
                    </w:r>
                    <w:r w:rsidRPr="00F433F2">
                      <w:rPr>
                        <w:b/>
                        <w:color w:val="023E87"/>
                      </w:rPr>
                      <w:fldChar w:fldCharType="separate"/>
                    </w:r>
                    <w:r w:rsidR="007B52A8">
                      <w:rPr>
                        <w:b/>
                        <w:noProof/>
                        <w:color w:val="023E87"/>
                      </w:rPr>
                      <w:t>12</w:t>
                    </w:r>
                    <w:r w:rsidRPr="00F433F2">
                      <w:rPr>
                        <w:b/>
                        <w:color w:val="023E87"/>
                      </w:rPr>
                      <w:fldChar w:fldCharType="end"/>
                    </w:r>
                  </w:p>
                </w:txbxContent>
              </v:textbox>
            </v:shape>
          </w:pict>
        </mc:Fallback>
      </mc:AlternateContent>
    </w:r>
    <w:r w:rsidRPr="00570C53">
      <w:rPr>
        <w:noProof/>
        <w:lang w:eastAsia="el-GR"/>
      </w:rPr>
      <w:drawing>
        <wp:anchor distT="0" distB="0" distL="114300" distR="114300" simplePos="0" relativeHeight="251636736" behindDoc="0" locked="0" layoutInCell="1" allowOverlap="1" wp14:anchorId="2A661377" wp14:editId="056AE3D8">
          <wp:simplePos x="0" y="0"/>
          <wp:positionH relativeFrom="column">
            <wp:posOffset>4446905</wp:posOffset>
          </wp:positionH>
          <wp:positionV relativeFrom="paragraph">
            <wp:posOffset>161763</wp:posOffset>
          </wp:positionV>
          <wp:extent cx="791845" cy="334645"/>
          <wp:effectExtent l="0" t="0" r="8255" b="8255"/>
          <wp:wrapNone/>
          <wp:docPr id="86"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upak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845" cy="334645"/>
                  </a:xfrm>
                  <a:prstGeom prst="rect">
                    <a:avLst/>
                  </a:prstGeom>
                </pic:spPr>
              </pic:pic>
            </a:graphicData>
          </a:graphic>
        </wp:anchor>
      </w:drawing>
    </w:r>
    <w:r>
      <w:rPr>
        <w:noProof/>
        <w:lang w:eastAsia="el-GR"/>
      </w:rPr>
      <mc:AlternateContent>
        <mc:Choice Requires="wps">
          <w:drawing>
            <wp:anchor distT="0" distB="0" distL="114300" distR="114300" simplePos="0" relativeHeight="251671552" behindDoc="0" locked="0" layoutInCell="1" allowOverlap="1" wp14:anchorId="54A335FF" wp14:editId="70B37636">
              <wp:simplePos x="0" y="0"/>
              <wp:positionH relativeFrom="column">
                <wp:posOffset>-680720</wp:posOffset>
              </wp:positionH>
              <wp:positionV relativeFrom="paragraph">
                <wp:posOffset>279400</wp:posOffset>
              </wp:positionV>
              <wp:extent cx="4112260" cy="379730"/>
              <wp:effectExtent l="0" t="0" r="0" b="127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26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3D480" w14:textId="01E75BE1" w:rsidR="00EA6E38" w:rsidRPr="00F433F2" w:rsidRDefault="00EA6E38" w:rsidP="00FE022E">
                          <w:pPr>
                            <w:rPr>
                              <w:b/>
                              <w:color w:val="023E87"/>
                              <w:lang w:val="en-US"/>
                            </w:rPr>
                          </w:pPr>
                          <w:r w:rsidRPr="00F433F2">
                            <w:rPr>
                              <w:b/>
                              <w:color w:val="023E87"/>
                            </w:rPr>
                            <w:t>|</w:t>
                          </w:r>
                          <w:r>
                            <w:rPr>
                              <w:b/>
                              <w:color w:val="023E87"/>
                            </w:rPr>
                            <w:t xml:space="preserve"> 4 Αυγούστου </w:t>
                          </w:r>
                          <w:r w:rsidRPr="00F433F2">
                            <w:rPr>
                              <w:b/>
                              <w:color w:val="023E87"/>
                              <w:lang w:val="en-US"/>
                            </w:rPr>
                            <w:t>2</w:t>
                          </w:r>
                          <w:r w:rsidRPr="00F433F2">
                            <w:rPr>
                              <w:b/>
                              <w:color w:val="023E87"/>
                            </w:rPr>
                            <w:t>0</w:t>
                          </w:r>
                          <w:r w:rsidRPr="00F433F2">
                            <w:rPr>
                              <w:b/>
                              <w:color w:val="023E87"/>
                              <w:lang w:val="en-US"/>
                            </w:rPr>
                            <w:t>21</w:t>
                          </w:r>
                        </w:p>
                      </w:txbxContent>
                    </wps:txbx>
                    <wps:bodyPr rot="0" vert="horz" wrap="square" lIns="0" tIns="45720" rIns="91440" bIns="45720" anchor="t" anchorCtr="0" upright="1">
                      <a:noAutofit/>
                    </wps:bodyPr>
                  </wps:wsp>
                </a:graphicData>
              </a:graphic>
            </wp:anchor>
          </w:drawing>
        </mc:Choice>
        <mc:Fallback>
          <w:pict>
            <v:shape w14:anchorId="54A335FF" id="Text Box 14" o:spid="_x0000_s1035" type="#_x0000_t202" style="position:absolute;left:0;text-align:left;margin-left:-53.6pt;margin-top:22pt;width:323.8pt;height:29.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" filled="f" stroked="f">
              <v:textbox inset="0">
                <w:txbxContent>
                  <w:p w14:paraId="0BE3D480" w14:textId="01E75BE1" w:rsidR="00EA6E38" w:rsidRPr="00F433F2" w:rsidRDefault="00EA6E38" w:rsidP="00FE022E">
                    <w:pPr>
                      <w:rPr>
                        <w:b/>
                        <w:color w:val="023E87"/>
                        <w:lang w:val="en-US"/>
                      </w:rPr>
                    </w:pPr>
                    <w:r w:rsidRPr="00F433F2">
                      <w:rPr>
                        <w:b/>
                        <w:color w:val="023E87"/>
                      </w:rPr>
                      <w:t>|</w:t>
                    </w:r>
                    <w:r>
                      <w:rPr>
                        <w:b/>
                        <w:color w:val="023E87"/>
                      </w:rPr>
                      <w:t xml:space="preserve"> 4 Αυγούστου </w:t>
                    </w:r>
                    <w:r w:rsidRPr="00F433F2">
                      <w:rPr>
                        <w:b/>
                        <w:color w:val="023E87"/>
                        <w:lang w:val="en-US"/>
                      </w:rPr>
                      <w:t>2</w:t>
                    </w:r>
                    <w:r w:rsidRPr="00F433F2">
                      <w:rPr>
                        <w:b/>
                        <w:color w:val="023E87"/>
                      </w:rPr>
                      <w:t>0</w:t>
                    </w:r>
                    <w:r w:rsidRPr="00F433F2">
                      <w:rPr>
                        <w:b/>
                        <w:color w:val="023E87"/>
                        <w:lang w:val="en-US"/>
                      </w:rPr>
                      <w:t>21</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2361" w14:textId="77777777" w:rsidR="00EA6E38" w:rsidRDefault="00EA6E38">
    <w:pPr>
      <w:pStyle w:val="Footer"/>
    </w:pPr>
    <w:r>
      <w:rPr>
        <w:noProof/>
        <w:lang w:eastAsia="el-GR"/>
      </w:rPr>
      <mc:AlternateContent>
        <mc:Choice Requires="wps">
          <w:drawing>
            <wp:anchor distT="0" distB="0" distL="114300" distR="114300" simplePos="0" relativeHeight="251655168" behindDoc="0" locked="0" layoutInCell="1" allowOverlap="1" wp14:anchorId="7F56B1A5" wp14:editId="4B9BA5A2">
              <wp:simplePos x="0" y="0"/>
              <wp:positionH relativeFrom="column">
                <wp:posOffset>-1301115</wp:posOffset>
              </wp:positionH>
              <wp:positionV relativeFrom="paragraph">
                <wp:posOffset>287919</wp:posOffset>
              </wp:positionV>
              <wp:extent cx="438785" cy="379730"/>
              <wp:effectExtent l="0" t="0" r="18415" b="127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603D3" w14:textId="173BB6D3" w:rsidR="00EA6E38" w:rsidRPr="00F334FE" w:rsidRDefault="00EA6E38" w:rsidP="00D715DC">
                          <w:pPr>
                            <w:jc w:val="right"/>
                            <w:rPr>
                              <w:b/>
                              <w:color w:val="023E87"/>
                              <w:sz w:val="20"/>
                            </w:rPr>
                          </w:pPr>
                          <w:r w:rsidRPr="00F334FE">
                            <w:rPr>
                              <w:b/>
                              <w:color w:val="023E87"/>
                              <w:sz w:val="20"/>
                            </w:rPr>
                            <w:fldChar w:fldCharType="begin"/>
                          </w:r>
                          <w:r w:rsidRPr="00F334FE">
                            <w:rPr>
                              <w:b/>
                              <w:color w:val="023E87"/>
                              <w:sz w:val="20"/>
                            </w:rPr>
                            <w:instrText xml:space="preserve"> PAGE   \* MERGEFORMAT </w:instrText>
                          </w:r>
                          <w:r w:rsidRPr="00F334FE">
                            <w:rPr>
                              <w:b/>
                              <w:color w:val="023E87"/>
                              <w:sz w:val="20"/>
                            </w:rPr>
                            <w:fldChar w:fldCharType="separate"/>
                          </w:r>
                          <w:r w:rsidR="007B52A8">
                            <w:rPr>
                              <w:b/>
                              <w:noProof/>
                              <w:color w:val="023E87"/>
                              <w:sz w:val="20"/>
                            </w:rPr>
                            <w:t>1</w:t>
                          </w:r>
                          <w:r w:rsidRPr="00F334FE">
                            <w:rPr>
                              <w:b/>
                              <w:color w:val="023E87"/>
                              <w:sz w:val="20"/>
                            </w:rPr>
                            <w:fldChar w:fldCharType="end"/>
                          </w:r>
                        </w:p>
                      </w:txbxContent>
                    </wps:txbx>
                    <wps:bodyPr rot="0" vert="horz" wrap="square" lIns="91440" tIns="45720" rIns="0" bIns="45720" anchor="t" anchorCtr="0" upright="1">
                      <a:noAutofit/>
                    </wps:bodyPr>
                  </wps:wsp>
                </a:graphicData>
              </a:graphic>
            </wp:anchor>
          </w:drawing>
        </mc:Choice>
        <mc:Fallback>
          <w:pict>
            <v:shapetype w14:anchorId="7F56B1A5" id="_x0000_t202" coordsize="21600,21600" o:spt="202" path="m,l,21600r21600,l21600,xe">
              <v:stroke joinstyle="miter"/>
              <v:path gradientshapeok="t" o:connecttype="rect"/>
            </v:shapetype>
            <v:shape id="_x0000_s1039" type="#_x0000_t202" style="position:absolute;margin-left:-102.45pt;margin-top:22.65pt;width:34.55pt;height:29.9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" filled="f" stroked="f">
              <v:textbox inset=",,0">
                <w:txbxContent>
                  <w:p w14:paraId="46E603D3" w14:textId="173BB6D3" w:rsidR="00EA6E38" w:rsidRPr="00F334FE" w:rsidRDefault="00EA6E38" w:rsidP="00D715DC">
                    <w:pPr>
                      <w:jc w:val="right"/>
                      <w:rPr>
                        <w:b/>
                        <w:color w:val="023E87"/>
                        <w:sz w:val="20"/>
                      </w:rPr>
                    </w:pPr>
                    <w:r w:rsidRPr="00F334FE">
                      <w:rPr>
                        <w:b/>
                        <w:color w:val="023E87"/>
                        <w:sz w:val="20"/>
                      </w:rPr>
                      <w:fldChar w:fldCharType="begin"/>
                    </w:r>
                    <w:r w:rsidRPr="00F334FE">
                      <w:rPr>
                        <w:b/>
                        <w:color w:val="023E87"/>
                        <w:sz w:val="20"/>
                      </w:rPr>
                      <w:instrText xml:space="preserve"> PAGE   \* MERGEFORMAT </w:instrText>
                    </w:r>
                    <w:r w:rsidRPr="00F334FE">
                      <w:rPr>
                        <w:b/>
                        <w:color w:val="023E87"/>
                        <w:sz w:val="20"/>
                      </w:rPr>
                      <w:fldChar w:fldCharType="separate"/>
                    </w:r>
                    <w:r w:rsidR="007B52A8">
                      <w:rPr>
                        <w:b/>
                        <w:noProof/>
                        <w:color w:val="023E87"/>
                        <w:sz w:val="20"/>
                      </w:rPr>
                      <w:t>1</w:t>
                    </w:r>
                    <w:r w:rsidRPr="00F334FE">
                      <w:rPr>
                        <w:b/>
                        <w:color w:val="023E87"/>
                        <w:sz w:val="20"/>
                      </w:rPr>
                      <w:fldChar w:fldCharType="end"/>
                    </w:r>
                  </w:p>
                </w:txbxContent>
              </v:textbox>
            </v:shape>
          </w:pict>
        </mc:Fallback>
      </mc:AlternateContent>
    </w:r>
    <w:r>
      <w:rPr>
        <w:noProof/>
        <w:lang w:eastAsia="el-GR"/>
      </w:rPr>
      <w:drawing>
        <wp:anchor distT="0" distB="0" distL="114300" distR="114300" simplePos="0" relativeHeight="251645952" behindDoc="0" locked="0" layoutInCell="1" allowOverlap="1" wp14:anchorId="1ADEF6AD" wp14:editId="4CEFED34">
          <wp:simplePos x="0" y="0"/>
          <wp:positionH relativeFrom="column">
            <wp:posOffset>4442460</wp:posOffset>
          </wp:positionH>
          <wp:positionV relativeFrom="paragraph">
            <wp:posOffset>143348</wp:posOffset>
          </wp:positionV>
          <wp:extent cx="791845" cy="334645"/>
          <wp:effectExtent l="0" t="0" r="8255" b="8255"/>
          <wp:wrapNone/>
          <wp:docPr id="88"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upak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845" cy="334645"/>
                  </a:xfrm>
                  <a:prstGeom prst="rect">
                    <a:avLst/>
                  </a:prstGeom>
                </pic:spPr>
              </pic:pic>
            </a:graphicData>
          </a:graphic>
        </wp:anchor>
      </w:drawing>
    </w:r>
    <w:r>
      <w:rPr>
        <w:noProof/>
        <w:lang w:eastAsia="el-GR"/>
      </w:rPr>
      <mc:AlternateContent>
        <mc:Choice Requires="wps">
          <w:drawing>
            <wp:anchor distT="0" distB="0" distL="114300" distR="114300" simplePos="0" relativeHeight="251652096" behindDoc="0" locked="0" layoutInCell="1" allowOverlap="1" wp14:anchorId="73B69A80" wp14:editId="0633CF1D">
              <wp:simplePos x="0" y="0"/>
              <wp:positionH relativeFrom="column">
                <wp:posOffset>-804545</wp:posOffset>
              </wp:positionH>
              <wp:positionV relativeFrom="paragraph">
                <wp:posOffset>286689</wp:posOffset>
              </wp:positionV>
              <wp:extent cx="4112260" cy="379730"/>
              <wp:effectExtent l="0" t="0" r="0" b="127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26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E0A3F" w14:textId="77777777" w:rsidR="00EA6E38" w:rsidRPr="00F433F2" w:rsidRDefault="00EA6E38" w:rsidP="00FE44DA">
                          <w:pPr>
                            <w:rPr>
                              <w:b/>
                              <w:color w:val="023E87"/>
                              <w:lang w:val="en-US"/>
                            </w:rPr>
                          </w:pPr>
                          <w:r w:rsidRPr="00F433F2">
                            <w:rPr>
                              <w:b/>
                              <w:color w:val="023E87"/>
                              <w:sz w:val="20"/>
                              <w:szCs w:val="20"/>
                            </w:rPr>
                            <w:t>|</w:t>
                          </w:r>
                          <w:r>
                            <w:rPr>
                              <w:b/>
                              <w:color w:val="023E87"/>
                              <w:sz w:val="20"/>
                              <w:szCs w:val="20"/>
                              <w:lang w:val="en-US"/>
                            </w:rPr>
                            <w:t xml:space="preserve"> </w:t>
                          </w:r>
                          <w:r>
                            <w:rPr>
                              <w:b/>
                              <w:color w:val="023E87"/>
                            </w:rPr>
                            <w:t xml:space="preserve">4 Αυγούστου </w:t>
                          </w:r>
                          <w:r w:rsidRPr="00F433F2">
                            <w:rPr>
                              <w:b/>
                              <w:color w:val="023E87"/>
                              <w:lang w:val="en-US"/>
                            </w:rPr>
                            <w:t>2</w:t>
                          </w:r>
                          <w:r w:rsidRPr="00F433F2">
                            <w:rPr>
                              <w:b/>
                              <w:color w:val="023E87"/>
                            </w:rPr>
                            <w:t>0</w:t>
                          </w:r>
                          <w:r w:rsidRPr="00F433F2">
                            <w:rPr>
                              <w:b/>
                              <w:color w:val="023E87"/>
                              <w:lang w:val="en-US"/>
                            </w:rPr>
                            <w:t>21</w:t>
                          </w:r>
                        </w:p>
                        <w:p w14:paraId="4B9EC9AE" w14:textId="1B71B01D" w:rsidR="00EA6E38" w:rsidRPr="00F433F2" w:rsidRDefault="00EA6E38" w:rsidP="00D715DC">
                          <w:pPr>
                            <w:rPr>
                              <w:b/>
                              <w:color w:val="023E87"/>
                              <w:sz w:val="20"/>
                              <w:szCs w:val="20"/>
                              <w:lang w:val="en-US"/>
                            </w:rPr>
                          </w:pPr>
                        </w:p>
                      </w:txbxContent>
                    </wps:txbx>
                    <wps:bodyPr rot="0" vert="horz" wrap="square" lIns="0" tIns="45720" rIns="91440" bIns="45720" anchor="t" anchorCtr="0" upright="1">
                      <a:noAutofit/>
                    </wps:bodyPr>
                  </wps:wsp>
                </a:graphicData>
              </a:graphic>
            </wp:anchor>
          </w:drawing>
        </mc:Choice>
        <mc:Fallback>
          <w:pict>
            <v:shape w14:anchorId="73B69A80" id="_x0000_s1040" type="#_x0000_t202" style="position:absolute;margin-left:-63.35pt;margin-top:22.55pt;width:323.8pt;height:29.9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UJuwIAAL4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" filled="f" stroked="f">
              <v:textbox inset="0">
                <w:txbxContent>
                  <w:p w14:paraId="737E0A3F" w14:textId="77777777" w:rsidR="00EA6E38" w:rsidRPr="00F433F2" w:rsidRDefault="00EA6E38" w:rsidP="00FE44DA">
                    <w:pPr>
                      <w:rPr>
                        <w:b/>
                        <w:color w:val="023E87"/>
                        <w:lang w:val="en-US"/>
                      </w:rPr>
                    </w:pPr>
                    <w:r w:rsidRPr="00F433F2">
                      <w:rPr>
                        <w:b/>
                        <w:color w:val="023E87"/>
                        <w:sz w:val="20"/>
                        <w:szCs w:val="20"/>
                      </w:rPr>
                      <w:t>|</w:t>
                    </w:r>
                    <w:r>
                      <w:rPr>
                        <w:b/>
                        <w:color w:val="023E87"/>
                        <w:sz w:val="20"/>
                        <w:szCs w:val="20"/>
                        <w:lang w:val="en-US"/>
                      </w:rPr>
                      <w:t xml:space="preserve"> </w:t>
                    </w:r>
                    <w:r>
                      <w:rPr>
                        <w:b/>
                        <w:color w:val="023E87"/>
                      </w:rPr>
                      <w:t xml:space="preserve">4 Αυγούστου </w:t>
                    </w:r>
                    <w:r w:rsidRPr="00F433F2">
                      <w:rPr>
                        <w:b/>
                        <w:color w:val="023E87"/>
                        <w:lang w:val="en-US"/>
                      </w:rPr>
                      <w:t>2</w:t>
                    </w:r>
                    <w:r w:rsidRPr="00F433F2">
                      <w:rPr>
                        <w:b/>
                        <w:color w:val="023E87"/>
                      </w:rPr>
                      <w:t>0</w:t>
                    </w:r>
                    <w:r w:rsidRPr="00F433F2">
                      <w:rPr>
                        <w:b/>
                        <w:color w:val="023E87"/>
                        <w:lang w:val="en-US"/>
                      </w:rPr>
                      <w:t>21</w:t>
                    </w:r>
                  </w:p>
                  <w:p w14:paraId="4B9EC9AE" w14:textId="1B71B01D" w:rsidR="00EA6E38" w:rsidRPr="00F433F2" w:rsidRDefault="00EA6E38" w:rsidP="00D715DC">
                    <w:pPr>
                      <w:rPr>
                        <w:b/>
                        <w:color w:val="023E87"/>
                        <w:sz w:val="20"/>
                        <w:szCs w:val="20"/>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4C8BA" w14:textId="77777777" w:rsidR="00FD222F" w:rsidRDefault="00FD222F" w:rsidP="00A14E18">
      <w:pPr>
        <w:spacing w:after="0" w:line="240" w:lineRule="auto"/>
      </w:pPr>
      <w:r>
        <w:separator/>
      </w:r>
    </w:p>
  </w:footnote>
  <w:footnote w:type="continuationSeparator" w:id="0">
    <w:p w14:paraId="4518EDFE" w14:textId="77777777" w:rsidR="00FD222F" w:rsidRDefault="00FD222F" w:rsidP="00A14E18">
      <w:pPr>
        <w:spacing w:after="0" w:line="240" w:lineRule="auto"/>
      </w:pPr>
      <w:r>
        <w:continuationSeparator/>
      </w:r>
    </w:p>
  </w:footnote>
  <w:footnote w:type="continuationNotice" w:id="1">
    <w:p w14:paraId="0707F381" w14:textId="77777777" w:rsidR="00FD222F" w:rsidRDefault="00FD22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478B4" w14:textId="639AAC30" w:rsidR="00EA6E38" w:rsidRPr="00910B3C" w:rsidRDefault="00EA6E38" w:rsidP="00B23C31">
    <w:pPr>
      <w:pStyle w:val="Header"/>
      <w:ind w:right="-285"/>
      <w:rPr>
        <w:b/>
        <w:lang w:val="en-US"/>
      </w:rPr>
    </w:pPr>
    <w:r w:rsidRPr="00427967">
      <w:rPr>
        <w:b/>
        <w:i/>
        <w:noProof/>
        <w:color w:val="FF0000"/>
        <w:sz w:val="24"/>
        <w:szCs w:val="24"/>
        <w:u w:val="single"/>
        <w:lang w:eastAsia="el-GR"/>
      </w:rPr>
      <w:drawing>
        <wp:anchor distT="0" distB="0" distL="114300" distR="114300" simplePos="0" relativeHeight="251678720" behindDoc="0" locked="0" layoutInCell="1" allowOverlap="1" wp14:anchorId="6A38564F" wp14:editId="27D64204">
          <wp:simplePos x="0" y="0"/>
          <wp:positionH relativeFrom="page">
            <wp:align>left</wp:align>
          </wp:positionH>
          <wp:positionV relativeFrom="paragraph">
            <wp:posOffset>7620</wp:posOffset>
          </wp:positionV>
          <wp:extent cx="2228850" cy="678815"/>
          <wp:effectExtent l="0" t="0" r="0" b="6985"/>
          <wp:wrapSquare wrapText="bothSides"/>
          <wp:docPr id="9" name="Picture 70" descr="K:\LYRA\PB_FINANCIAL_HOLDINGS_LOGO_GR-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YRA\PB_FINANCIAL_HOLDINGS_LOGO_GR-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678815"/>
                  </a:xfrm>
                  <a:prstGeom prst="rect">
                    <a:avLst/>
                  </a:prstGeom>
                  <a:noFill/>
                  <a:ln>
                    <a:noFill/>
                  </a:ln>
                </pic:spPr>
              </pic:pic>
            </a:graphicData>
          </a:graphic>
        </wp:anchor>
      </w:drawing>
    </w:r>
    <w:r>
      <w:rPr>
        <w:b/>
        <w:i/>
        <w:noProof/>
        <w:color w:val="FF0000"/>
        <w:sz w:val="24"/>
        <w:szCs w:val="24"/>
        <w:u w:val="single"/>
        <w:lang w:eastAsia="el-GR"/>
      </w:rPr>
      <mc:AlternateContent>
        <mc:Choice Requires="wpg">
          <w:drawing>
            <wp:anchor distT="0" distB="0" distL="114300" distR="114300" simplePos="0" relativeHeight="251668480" behindDoc="0" locked="0" layoutInCell="1" allowOverlap="1" wp14:anchorId="6C297CD4" wp14:editId="251DD92F">
              <wp:simplePos x="0" y="0"/>
              <wp:positionH relativeFrom="column">
                <wp:posOffset>3923665</wp:posOffset>
              </wp:positionH>
              <wp:positionV relativeFrom="paragraph">
                <wp:posOffset>-182880</wp:posOffset>
              </wp:positionV>
              <wp:extent cx="1030605" cy="1003300"/>
              <wp:effectExtent l="0" t="0" r="0" b="6350"/>
              <wp:wrapTight wrapText="bothSides">
                <wp:wrapPolygon edited="0">
                  <wp:start x="0" y="0"/>
                  <wp:lineTo x="0" y="21327"/>
                  <wp:lineTo x="21161" y="21327"/>
                  <wp:lineTo x="21161" y="0"/>
                  <wp:lineTo x="0" y="0"/>
                </wp:wrapPolygon>
              </wp:wrapTight>
              <wp:docPr id="13" name="Group 13"/>
              <wp:cNvGraphicFramePr/>
              <a:graphic xmlns:a="http://schemas.openxmlformats.org/drawingml/2006/main">
                <a:graphicData uri="http://schemas.microsoft.com/office/word/2010/wordprocessingGroup">
                  <wpg:wgp>
                    <wpg:cNvGrpSpPr/>
                    <wpg:grpSpPr>
                      <a:xfrm>
                        <a:off x="0" y="0"/>
                        <a:ext cx="1030605" cy="1003300"/>
                        <a:chOff x="0" y="0"/>
                        <a:chExt cx="1030605" cy="1003300"/>
                      </a:xfrm>
                    </wpg:grpSpPr>
                    <pic:pic xmlns:pic="http://schemas.openxmlformats.org/drawingml/2006/picture">
                      <pic:nvPicPr>
                        <pic:cNvPr id="5" name="Picture 5" descr="tetragon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5240" y="0"/>
                          <a:ext cx="1014730" cy="1003300"/>
                        </a:xfrm>
                        <a:prstGeom prst="rect">
                          <a:avLst/>
                        </a:prstGeom>
                        <a:noFill/>
                        <a:extLst>
                          <a:ext uri="{909E8E84-426E-40DD-AFC4-6F175D3DCCD1}">
                            <a14:hiddenFill xmlns:a14="http://schemas.microsoft.com/office/drawing/2010/main">
                              <a:solidFill>
                                <a:srgbClr val="FFFFFF"/>
                              </a:solidFill>
                            </a14:hiddenFill>
                          </a:ext>
                        </a:extLst>
                      </pic:spPr>
                    </pic:pic>
                    <wps:wsp>
                      <wps:cNvPr id="11" name="Τίτλος 9"/>
                      <wps:cNvSpPr txBox="1">
                        <a:spLocks/>
                      </wps:cNvSpPr>
                      <wps:spPr bwMode="auto">
                        <a:xfrm>
                          <a:off x="0" y="236220"/>
                          <a:ext cx="1030605"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B8E95" w14:textId="262CC3BC" w:rsidR="00EA6E38" w:rsidRPr="00AB10AB" w:rsidRDefault="00EA6E38" w:rsidP="00406763">
                            <w:pPr>
                              <w:pStyle w:val="NormalWeb"/>
                              <w:spacing w:after="0" w:line="276" w:lineRule="auto"/>
                              <w:jc w:val="center"/>
                              <w:rPr>
                                <w:rFonts w:asciiTheme="minorHAnsi" w:hAnsi="Calibri" w:cstheme="minorBidi"/>
                                <w:bCs/>
                                <w:color w:val="FFFFFF" w:themeColor="background1"/>
                                <w:kern w:val="24"/>
                                <w:sz w:val="21"/>
                                <w:szCs w:val="21"/>
                                <w:lang w:val="en-US"/>
                              </w:rPr>
                            </w:pPr>
                            <w:r w:rsidRPr="00406763">
                              <w:rPr>
                                <w:rFonts w:asciiTheme="minorHAnsi" w:hAnsi="Calibri" w:cstheme="minorBidi"/>
                                <w:bCs/>
                                <w:color w:val="FFFFFF" w:themeColor="background1"/>
                                <w:kern w:val="24"/>
                                <w:sz w:val="21"/>
                                <w:szCs w:val="21"/>
                                <w:lang w:val="en-US"/>
                              </w:rPr>
                              <w:t>ΑΠΟΤΕΛΕΣΜΑΤΑ1ου 6ΜΗΝΟΥ 2021</w:t>
                            </w:r>
                          </w:p>
                        </w:txbxContent>
                      </wps:txbx>
                      <wps:bodyPr rot="0" vert="horz" wrap="square" lIns="36000" tIns="36828" rIns="36000" bIns="36828" anchor="t" anchorCtr="0" upright="1">
                        <a:noAutofit/>
                      </wps:bodyPr>
                    </wps:wsp>
                  </wpg:wgp>
                </a:graphicData>
              </a:graphic>
            </wp:anchor>
          </w:drawing>
        </mc:Choice>
        <mc:Fallback>
          <w:pict>
            <v:group w14:anchorId="6C297CD4" id="Group 13" o:spid="_x0000_s1031" style="position:absolute;margin-left:308.95pt;margin-top:-14.4pt;width:81.15pt;height:79pt;z-index:251668480" coordsize="10306,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2" type="#_x0000_t75" alt="tetragono.png" style="position:absolute;left:152;width:10147;height:10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">
                <v:imagedata r:id="rId3" o:title="tetragono"/>
                <v:path arrowok="t"/>
              </v:shape>
              <v:shapetype id="_x0000_t202" coordsize="21600,21600" o:spt="202" path="m,l,21600r21600,l21600,xe">
                <v:stroke joinstyle="miter"/>
                <v:path gradientshapeok="t" o:connecttype="rect"/>
              </v:shapetype>
              <v:shape id="Τίτλος 9" o:spid="_x0000_s1033" type="#_x0000_t202" style="position:absolute;top:2362;width:10306;height:7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" filled="f" stroked="f">
                <v:path arrowok="t"/>
                <v:textbox inset="1mm,1.023mm,1mm,1.023mm">
                  <w:txbxContent>
                    <w:p w14:paraId="65BB8E95" w14:textId="262CC3BC" w:rsidR="00EA6E38" w:rsidRPr="00AB10AB" w:rsidRDefault="00EA6E38" w:rsidP="00406763">
                      <w:pPr>
                        <w:pStyle w:val="NormalWeb"/>
                        <w:spacing w:after="0" w:line="276" w:lineRule="auto"/>
                        <w:jc w:val="center"/>
                        <w:rPr>
                          <w:rFonts w:asciiTheme="minorHAnsi" w:hAnsi="Calibri" w:cstheme="minorBidi"/>
                          <w:bCs/>
                          <w:color w:val="FFFFFF" w:themeColor="background1"/>
                          <w:kern w:val="24"/>
                          <w:sz w:val="21"/>
                          <w:szCs w:val="21"/>
                          <w:lang w:val="en-US"/>
                        </w:rPr>
                      </w:pPr>
                      <w:r w:rsidRPr="00406763">
                        <w:rPr>
                          <w:rFonts w:asciiTheme="minorHAnsi" w:hAnsi="Calibri" w:cstheme="minorBidi"/>
                          <w:bCs/>
                          <w:color w:val="FFFFFF" w:themeColor="background1"/>
                          <w:kern w:val="24"/>
                          <w:sz w:val="21"/>
                          <w:szCs w:val="21"/>
                          <w:lang w:val="en-US"/>
                        </w:rPr>
                        <w:t>ΑΠΟΤΕΛΕΣΜΑΤΑ1ου 6ΜΗΝΟΥ 2021</w:t>
                      </w:r>
                    </w:p>
                  </w:txbxContent>
                </v:textbox>
              </v:shape>
              <w10:wrap type="tight"/>
            </v:group>
          </w:pict>
        </mc:Fallback>
      </mc:AlternateContent>
    </w:r>
    <w:r>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F37FE" w14:textId="060769D6" w:rsidR="00EA6E38" w:rsidRPr="00910B3C" w:rsidRDefault="00EA6E38" w:rsidP="00910B3C">
    <w:pPr>
      <w:pStyle w:val="Header"/>
      <w:tabs>
        <w:tab w:val="left" w:pos="1843"/>
      </w:tabs>
      <w:ind w:right="-427"/>
      <w:rPr>
        <w:b/>
        <w:i/>
        <w:color w:val="FF0000"/>
        <w:sz w:val="24"/>
        <w:szCs w:val="24"/>
        <w:highlight w:val="yellow"/>
        <w:u w:val="single"/>
        <w:lang w:val="en-US"/>
      </w:rPr>
    </w:pPr>
    <w:r w:rsidRPr="00427967">
      <w:rPr>
        <w:b/>
        <w:i/>
        <w:noProof/>
        <w:color w:val="FF0000"/>
        <w:sz w:val="24"/>
        <w:szCs w:val="24"/>
        <w:u w:val="single"/>
        <w:lang w:eastAsia="el-GR"/>
      </w:rPr>
      <w:drawing>
        <wp:anchor distT="0" distB="0" distL="114300" distR="114300" simplePos="0" relativeHeight="251676672" behindDoc="0" locked="0" layoutInCell="1" allowOverlap="1" wp14:anchorId="50957A6C" wp14:editId="1225B2D2">
          <wp:simplePos x="0" y="0"/>
          <wp:positionH relativeFrom="page">
            <wp:align>left</wp:align>
          </wp:positionH>
          <wp:positionV relativeFrom="paragraph">
            <wp:posOffset>-157480</wp:posOffset>
          </wp:positionV>
          <wp:extent cx="2228850" cy="678815"/>
          <wp:effectExtent l="0" t="0" r="0" b="6985"/>
          <wp:wrapSquare wrapText="bothSides"/>
          <wp:docPr id="36" name="Picture 70" descr="K:\LYRA\PB_FINANCIAL_HOLDINGS_LOGO_GR-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YRA\PB_FINANCIAL_HOLDINGS_LOGO_GR-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678815"/>
                  </a:xfrm>
                  <a:prstGeom prst="rect">
                    <a:avLst/>
                  </a:prstGeom>
                  <a:noFill/>
                  <a:ln>
                    <a:noFill/>
                  </a:ln>
                </pic:spPr>
              </pic:pic>
            </a:graphicData>
          </a:graphic>
        </wp:anchor>
      </w:drawing>
    </w:r>
    <w:r>
      <w:rPr>
        <w:b/>
        <w:i/>
        <w:noProof/>
        <w:color w:val="FF0000"/>
        <w:sz w:val="24"/>
        <w:szCs w:val="24"/>
        <w:u w:val="single"/>
        <w:lang w:eastAsia="el-GR"/>
      </w:rPr>
      <mc:AlternateContent>
        <mc:Choice Requires="wpg">
          <w:drawing>
            <wp:anchor distT="0" distB="0" distL="114300" distR="114300" simplePos="0" relativeHeight="251681792" behindDoc="0" locked="0" layoutInCell="1" allowOverlap="1" wp14:anchorId="50F68810" wp14:editId="5EA7E4E6">
              <wp:simplePos x="0" y="0"/>
              <wp:positionH relativeFrom="column">
                <wp:posOffset>4037965</wp:posOffset>
              </wp:positionH>
              <wp:positionV relativeFrom="paragraph">
                <wp:posOffset>-320040</wp:posOffset>
              </wp:positionV>
              <wp:extent cx="1028700" cy="1003935"/>
              <wp:effectExtent l="0" t="0" r="0" b="5715"/>
              <wp:wrapNone/>
              <wp:docPr id="21" name="Group 21"/>
              <wp:cNvGraphicFramePr/>
              <a:graphic xmlns:a="http://schemas.openxmlformats.org/drawingml/2006/main">
                <a:graphicData uri="http://schemas.microsoft.com/office/word/2010/wordprocessingGroup">
                  <wpg:wgp>
                    <wpg:cNvGrpSpPr/>
                    <wpg:grpSpPr>
                      <a:xfrm>
                        <a:off x="0" y="0"/>
                        <a:ext cx="1028700" cy="1003935"/>
                        <a:chOff x="0" y="0"/>
                        <a:chExt cx="1028700" cy="1003935"/>
                      </a:xfrm>
                    </wpg:grpSpPr>
                    <pic:pic xmlns:pic="http://schemas.openxmlformats.org/drawingml/2006/picture">
                      <pic:nvPicPr>
                        <pic:cNvPr id="3" name="Picture 5" descr="tetragon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5365" cy="1003935"/>
                        </a:xfrm>
                        <a:prstGeom prst="rect">
                          <a:avLst/>
                        </a:prstGeom>
                        <a:noFill/>
                        <a:extLst>
                          <a:ext uri="{909E8E84-426E-40DD-AFC4-6F175D3DCCD1}">
                            <a14:hiddenFill xmlns:a14="http://schemas.microsoft.com/office/drawing/2010/main">
                              <a:solidFill>
                                <a:srgbClr val="FFFFFF"/>
                              </a:solidFill>
                            </a14:hiddenFill>
                          </a:ext>
                        </a:extLst>
                      </pic:spPr>
                    </pic:pic>
                    <wps:wsp>
                      <wps:cNvPr id="19" name="Τίτλος 9"/>
                      <wps:cNvSpPr txBox="1">
                        <a:spLocks/>
                      </wps:cNvSpPr>
                      <wps:spPr bwMode="auto">
                        <a:xfrm>
                          <a:off x="7620" y="243840"/>
                          <a:ext cx="102108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CF1C8" w14:textId="77777777" w:rsidR="00EA6E38" w:rsidRPr="00AB10AB" w:rsidRDefault="00EA6E38" w:rsidP="00FE44DA">
                            <w:pPr>
                              <w:pStyle w:val="NormalWeb"/>
                              <w:spacing w:after="0" w:line="276" w:lineRule="auto"/>
                              <w:jc w:val="center"/>
                              <w:rPr>
                                <w:rFonts w:asciiTheme="minorHAnsi" w:hAnsi="Calibri" w:cstheme="minorBidi"/>
                                <w:bCs/>
                                <w:color w:val="FFFFFF" w:themeColor="background1"/>
                                <w:kern w:val="24"/>
                                <w:sz w:val="21"/>
                                <w:szCs w:val="21"/>
                                <w:lang w:val="en-US"/>
                              </w:rPr>
                            </w:pPr>
                            <w:r w:rsidRPr="00406763">
                              <w:rPr>
                                <w:rFonts w:asciiTheme="minorHAnsi" w:hAnsi="Calibri" w:cstheme="minorBidi"/>
                                <w:bCs/>
                                <w:color w:val="FFFFFF" w:themeColor="background1"/>
                                <w:kern w:val="24"/>
                                <w:sz w:val="21"/>
                                <w:szCs w:val="21"/>
                                <w:lang w:val="en-US"/>
                              </w:rPr>
                              <w:t>ΑΠΟΤΕΛΕΣΜΑΤΑ1ου 6ΜΗΝΟΥ 2021</w:t>
                            </w:r>
                          </w:p>
                        </w:txbxContent>
                      </wps:txbx>
                      <wps:bodyPr rot="0" vert="horz" wrap="square" lIns="36000" tIns="36828" rIns="36000" bIns="36828" anchor="t" anchorCtr="0" upright="1">
                        <a:noAutofit/>
                      </wps:bodyPr>
                    </wps:wsp>
                  </wpg:wgp>
                </a:graphicData>
              </a:graphic>
            </wp:anchor>
          </w:drawing>
        </mc:Choice>
        <mc:Fallback>
          <w:pict>
            <v:group w14:anchorId="50F68810" id="Group 21" o:spid="_x0000_s1036" style="position:absolute;margin-left:317.95pt;margin-top:-25.2pt;width:81pt;height:79.05pt;z-index:251681792" coordsize="10287,10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alt="tetragono.png" style="position:absolute;width:10153;height:10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">
                <v:imagedata r:id="rId3" o:title="tetragono"/>
                <v:path arrowok="t"/>
              </v:shape>
              <v:shapetype id="_x0000_t202" coordsize="21600,21600" o:spt="202" path="m,l,21600r21600,l21600,xe">
                <v:stroke joinstyle="miter"/>
                <v:path gradientshapeok="t" o:connecttype="rect"/>
              </v:shapetype>
              <v:shape id="Τίτλος 9" o:spid="_x0000_s1038" type="#_x0000_t202" style="position:absolute;left:76;top:2438;width:10211;height:7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" filled="f" stroked="f">
                <v:path arrowok="t"/>
                <v:textbox inset="1mm,1.023mm,1mm,1.023mm">
                  <w:txbxContent>
                    <w:p w14:paraId="14FCF1C8" w14:textId="77777777" w:rsidR="00EA6E38" w:rsidRPr="00AB10AB" w:rsidRDefault="00EA6E38" w:rsidP="00FE44DA">
                      <w:pPr>
                        <w:pStyle w:val="NormalWeb"/>
                        <w:spacing w:after="0" w:line="276" w:lineRule="auto"/>
                        <w:jc w:val="center"/>
                        <w:rPr>
                          <w:rFonts w:asciiTheme="minorHAnsi" w:hAnsi="Calibri" w:cstheme="minorBidi"/>
                          <w:bCs/>
                          <w:color w:val="FFFFFF" w:themeColor="background1"/>
                          <w:kern w:val="24"/>
                          <w:sz w:val="21"/>
                          <w:szCs w:val="21"/>
                          <w:lang w:val="en-US"/>
                        </w:rPr>
                      </w:pPr>
                      <w:r w:rsidRPr="00406763">
                        <w:rPr>
                          <w:rFonts w:asciiTheme="minorHAnsi" w:hAnsi="Calibri" w:cstheme="minorBidi"/>
                          <w:bCs/>
                          <w:color w:val="FFFFFF" w:themeColor="background1"/>
                          <w:kern w:val="24"/>
                          <w:sz w:val="21"/>
                          <w:szCs w:val="21"/>
                          <w:lang w:val="en-US"/>
                        </w:rPr>
                        <w:t>ΑΠΟΤΕΛΕΣΜΑΤΑ1ου 6ΜΗΝΟΥ 2021</w:t>
                      </w:r>
                    </w:p>
                  </w:txbxContent>
                </v:textbox>
              </v:shape>
            </v:group>
          </w:pict>
        </mc:Fallback>
      </mc:AlternateContent>
    </w:r>
  </w:p>
  <w:p w14:paraId="4C03E99C" w14:textId="77777777" w:rsidR="00EA6E38" w:rsidRDefault="00EA6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96169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3.25pt;height:23.25pt" o:bullet="t">
        <v:imagedata r:id="rId1" o:title="BulletTick"/>
      </v:shape>
    </w:pict>
  </w:numPicBullet>
  <w:numPicBullet w:numPicBulletId="1">
    <w:pict>
      <v:shape w14:anchorId="11F3AEDD" id="_x0000_i1030" type="#_x0000_t75" style="width:17.25pt;height:17.25pt;visibility:visible" o:bullet="t">
        <v:imagedata r:id="rId2" o:title=""/>
      </v:shape>
    </w:pict>
  </w:numPicBullet>
  <w:numPicBullet w:numPicBulletId="2">
    <w:pict>
      <v:shape w14:anchorId="2E22C2B7" id="_x0000_i1031" type="#_x0000_t75" style="width:21pt;height:15.75pt;visibility:visible" o:bullet="t">
        <v:imagedata r:id="rId3" o:title=""/>
      </v:shape>
    </w:pict>
  </w:numPicBullet>
  <w:abstractNum w:abstractNumId="0" w15:restartNumberingAfterBreak="0">
    <w:nsid w:val="00000402"/>
    <w:multiLevelType w:val="multilevel"/>
    <w:tmpl w:val="B8F65172"/>
    <w:lvl w:ilvl="0">
      <w:start w:val="1"/>
      <w:numFmt w:val="decimal"/>
      <w:lvlText w:val="%1."/>
      <w:lvlJc w:val="left"/>
      <w:pPr>
        <w:ind w:left="527" w:hanging="286"/>
      </w:pPr>
      <w:rPr>
        <w:rFonts w:hint="default"/>
        <w:b w:val="0"/>
        <w:bCs w:val="0"/>
        <w:color w:val="auto"/>
        <w:w w:val="99"/>
        <w:sz w:val="20"/>
        <w:szCs w:val="20"/>
        <w:u w:color="023E87"/>
      </w:rPr>
    </w:lvl>
    <w:lvl w:ilvl="1">
      <w:numFmt w:val="bullet"/>
      <w:lvlText w:val="•"/>
      <w:lvlJc w:val="left"/>
      <w:pPr>
        <w:ind w:left="1392" w:hanging="286"/>
      </w:pPr>
    </w:lvl>
    <w:lvl w:ilvl="2">
      <w:numFmt w:val="bullet"/>
      <w:lvlText w:val="•"/>
      <w:lvlJc w:val="left"/>
      <w:pPr>
        <w:ind w:left="2265" w:hanging="286"/>
      </w:pPr>
    </w:lvl>
    <w:lvl w:ilvl="3">
      <w:numFmt w:val="bullet"/>
      <w:lvlText w:val="•"/>
      <w:lvlJc w:val="left"/>
      <w:pPr>
        <w:ind w:left="3137" w:hanging="286"/>
      </w:pPr>
    </w:lvl>
    <w:lvl w:ilvl="4">
      <w:numFmt w:val="bullet"/>
      <w:lvlText w:val="•"/>
      <w:lvlJc w:val="left"/>
      <w:pPr>
        <w:ind w:left="4010" w:hanging="286"/>
      </w:pPr>
    </w:lvl>
    <w:lvl w:ilvl="5">
      <w:numFmt w:val="bullet"/>
      <w:lvlText w:val="•"/>
      <w:lvlJc w:val="left"/>
      <w:pPr>
        <w:ind w:left="4883" w:hanging="286"/>
      </w:pPr>
    </w:lvl>
    <w:lvl w:ilvl="6">
      <w:numFmt w:val="bullet"/>
      <w:lvlText w:val="•"/>
      <w:lvlJc w:val="left"/>
      <w:pPr>
        <w:ind w:left="5755" w:hanging="286"/>
      </w:pPr>
    </w:lvl>
    <w:lvl w:ilvl="7">
      <w:numFmt w:val="bullet"/>
      <w:lvlText w:val="•"/>
      <w:lvlJc w:val="left"/>
      <w:pPr>
        <w:ind w:left="6628" w:hanging="286"/>
      </w:pPr>
    </w:lvl>
    <w:lvl w:ilvl="8">
      <w:numFmt w:val="bullet"/>
      <w:lvlText w:val="•"/>
      <w:lvlJc w:val="left"/>
      <w:pPr>
        <w:ind w:left="7501" w:hanging="286"/>
      </w:pPr>
    </w:lvl>
  </w:abstractNum>
  <w:abstractNum w:abstractNumId="1" w15:restartNumberingAfterBreak="0">
    <w:nsid w:val="085F5058"/>
    <w:multiLevelType w:val="multilevel"/>
    <w:tmpl w:val="F6D4CE72"/>
    <w:lvl w:ilvl="0">
      <w:start w:val="1"/>
      <w:numFmt w:val="bullet"/>
      <w:lvlText w:val=""/>
      <w:lvlJc w:val="left"/>
      <w:pPr>
        <w:ind w:left="527" w:hanging="286"/>
      </w:pPr>
      <w:rPr>
        <w:rFonts w:ascii="Symbol" w:hAnsi="Symbol" w:hint="default"/>
        <w:b w:val="0"/>
        <w:bCs w:val="0"/>
        <w:color w:val="5B9BD5"/>
        <w:w w:val="99"/>
        <w:sz w:val="20"/>
        <w:szCs w:val="20"/>
        <w:u w:color="023E87"/>
      </w:rPr>
    </w:lvl>
    <w:lvl w:ilvl="1">
      <w:numFmt w:val="bullet"/>
      <w:lvlText w:val="•"/>
      <w:lvlJc w:val="left"/>
      <w:pPr>
        <w:ind w:left="1392" w:hanging="286"/>
      </w:pPr>
    </w:lvl>
    <w:lvl w:ilvl="2">
      <w:numFmt w:val="bullet"/>
      <w:lvlText w:val="•"/>
      <w:lvlJc w:val="left"/>
      <w:pPr>
        <w:ind w:left="2265" w:hanging="286"/>
      </w:pPr>
    </w:lvl>
    <w:lvl w:ilvl="3">
      <w:numFmt w:val="bullet"/>
      <w:lvlText w:val="•"/>
      <w:lvlJc w:val="left"/>
      <w:pPr>
        <w:ind w:left="3137" w:hanging="286"/>
      </w:pPr>
    </w:lvl>
    <w:lvl w:ilvl="4">
      <w:numFmt w:val="bullet"/>
      <w:lvlText w:val="•"/>
      <w:lvlJc w:val="left"/>
      <w:pPr>
        <w:ind w:left="4010" w:hanging="286"/>
      </w:pPr>
    </w:lvl>
    <w:lvl w:ilvl="5">
      <w:numFmt w:val="bullet"/>
      <w:lvlText w:val="•"/>
      <w:lvlJc w:val="left"/>
      <w:pPr>
        <w:ind w:left="4883" w:hanging="286"/>
      </w:pPr>
    </w:lvl>
    <w:lvl w:ilvl="6">
      <w:numFmt w:val="bullet"/>
      <w:lvlText w:val="•"/>
      <w:lvlJc w:val="left"/>
      <w:pPr>
        <w:ind w:left="5755" w:hanging="286"/>
      </w:pPr>
    </w:lvl>
    <w:lvl w:ilvl="7">
      <w:numFmt w:val="bullet"/>
      <w:lvlText w:val="•"/>
      <w:lvlJc w:val="left"/>
      <w:pPr>
        <w:ind w:left="6628" w:hanging="286"/>
      </w:pPr>
    </w:lvl>
    <w:lvl w:ilvl="8">
      <w:numFmt w:val="bullet"/>
      <w:lvlText w:val="•"/>
      <w:lvlJc w:val="left"/>
      <w:pPr>
        <w:ind w:left="7501" w:hanging="286"/>
      </w:pPr>
    </w:lvl>
  </w:abstractNum>
  <w:abstractNum w:abstractNumId="2" w15:restartNumberingAfterBreak="0">
    <w:nsid w:val="089C77D8"/>
    <w:multiLevelType w:val="multilevel"/>
    <w:tmpl w:val="C020126C"/>
    <w:lvl w:ilvl="0">
      <w:start w:val="1"/>
      <w:numFmt w:val="decimal"/>
      <w:lvlText w:val="%1."/>
      <w:lvlJc w:val="left"/>
      <w:pPr>
        <w:ind w:left="527" w:hanging="286"/>
      </w:pPr>
      <w:rPr>
        <w:rFonts w:hint="default"/>
        <w:b w:val="0"/>
        <w:bCs w:val="0"/>
        <w:color w:val="auto"/>
        <w:w w:val="99"/>
        <w:sz w:val="20"/>
        <w:szCs w:val="20"/>
        <w:u w:color="023E87"/>
      </w:rPr>
    </w:lvl>
    <w:lvl w:ilvl="1">
      <w:numFmt w:val="bullet"/>
      <w:lvlText w:val="•"/>
      <w:lvlJc w:val="left"/>
      <w:pPr>
        <w:ind w:left="1392" w:hanging="286"/>
      </w:pPr>
    </w:lvl>
    <w:lvl w:ilvl="2">
      <w:numFmt w:val="bullet"/>
      <w:lvlText w:val="•"/>
      <w:lvlJc w:val="left"/>
      <w:pPr>
        <w:ind w:left="2265" w:hanging="286"/>
      </w:pPr>
    </w:lvl>
    <w:lvl w:ilvl="3">
      <w:numFmt w:val="bullet"/>
      <w:lvlText w:val="•"/>
      <w:lvlJc w:val="left"/>
      <w:pPr>
        <w:ind w:left="3137" w:hanging="286"/>
      </w:pPr>
    </w:lvl>
    <w:lvl w:ilvl="4">
      <w:numFmt w:val="bullet"/>
      <w:lvlText w:val="•"/>
      <w:lvlJc w:val="left"/>
      <w:pPr>
        <w:ind w:left="4010" w:hanging="286"/>
      </w:pPr>
    </w:lvl>
    <w:lvl w:ilvl="5">
      <w:numFmt w:val="bullet"/>
      <w:lvlText w:val="•"/>
      <w:lvlJc w:val="left"/>
      <w:pPr>
        <w:ind w:left="4883" w:hanging="286"/>
      </w:pPr>
    </w:lvl>
    <w:lvl w:ilvl="6">
      <w:numFmt w:val="bullet"/>
      <w:lvlText w:val="•"/>
      <w:lvlJc w:val="left"/>
      <w:pPr>
        <w:ind w:left="5755" w:hanging="286"/>
      </w:pPr>
    </w:lvl>
    <w:lvl w:ilvl="7">
      <w:numFmt w:val="bullet"/>
      <w:lvlText w:val="•"/>
      <w:lvlJc w:val="left"/>
      <w:pPr>
        <w:ind w:left="6628" w:hanging="286"/>
      </w:pPr>
    </w:lvl>
    <w:lvl w:ilvl="8">
      <w:numFmt w:val="bullet"/>
      <w:lvlText w:val="•"/>
      <w:lvlJc w:val="left"/>
      <w:pPr>
        <w:ind w:left="7501" w:hanging="286"/>
      </w:pPr>
    </w:lvl>
  </w:abstractNum>
  <w:abstractNum w:abstractNumId="3" w15:restartNumberingAfterBreak="0">
    <w:nsid w:val="0BFD2BE2"/>
    <w:multiLevelType w:val="hybridMultilevel"/>
    <w:tmpl w:val="458EC884"/>
    <w:lvl w:ilvl="0" w:tplc="80384A9A">
      <w:start w:val="2"/>
      <w:numFmt w:val="bullet"/>
      <w:lvlText w:val=""/>
      <w:lvlJc w:val="left"/>
      <w:pPr>
        <w:ind w:left="720" w:hanging="360"/>
      </w:pPr>
      <w:rPr>
        <w:rFonts w:ascii="Wingdings" w:eastAsiaTheme="minorEastAsia" w:hAnsi="Wingdings"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6407D0"/>
    <w:multiLevelType w:val="hybridMultilevel"/>
    <w:tmpl w:val="103C4E28"/>
    <w:lvl w:ilvl="0" w:tplc="AAF885EA">
      <w:start w:val="1"/>
      <w:numFmt w:val="bullet"/>
      <w:lvlText w:val=""/>
      <w:lvlPicBulletId w:val="0"/>
      <w:lvlJc w:val="left"/>
      <w:pPr>
        <w:ind w:left="720" w:hanging="360"/>
      </w:pPr>
      <w:rPr>
        <w:rFonts w:ascii="Symbol" w:hAnsi="Symbol" w:hint="default"/>
        <w:color w:val="auto"/>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E858EA"/>
    <w:multiLevelType w:val="hybridMultilevel"/>
    <w:tmpl w:val="A8CE7D00"/>
    <w:lvl w:ilvl="0" w:tplc="0408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01A6C"/>
    <w:multiLevelType w:val="hybridMultilevel"/>
    <w:tmpl w:val="CEBEDB42"/>
    <w:lvl w:ilvl="0" w:tplc="8BFA8862">
      <w:start w:val="1"/>
      <w:numFmt w:val="decimal"/>
      <w:lvlText w:val="%1."/>
      <w:lvlJc w:val="left"/>
      <w:pPr>
        <w:ind w:left="1646" w:hanging="360"/>
      </w:pPr>
      <w:rPr>
        <w:rFonts w:hint="default"/>
        <w:color w:val="003C96" w:themeColor="text2"/>
      </w:rPr>
    </w:lvl>
    <w:lvl w:ilvl="1" w:tplc="08090019" w:tentative="1">
      <w:start w:val="1"/>
      <w:numFmt w:val="lowerLetter"/>
      <w:lvlText w:val="%2."/>
      <w:lvlJc w:val="left"/>
      <w:pPr>
        <w:ind w:left="2366" w:hanging="360"/>
      </w:pPr>
    </w:lvl>
    <w:lvl w:ilvl="2" w:tplc="0809001B" w:tentative="1">
      <w:start w:val="1"/>
      <w:numFmt w:val="lowerRoman"/>
      <w:lvlText w:val="%3."/>
      <w:lvlJc w:val="right"/>
      <w:pPr>
        <w:ind w:left="3086" w:hanging="180"/>
      </w:pPr>
    </w:lvl>
    <w:lvl w:ilvl="3" w:tplc="0809000F" w:tentative="1">
      <w:start w:val="1"/>
      <w:numFmt w:val="decimal"/>
      <w:lvlText w:val="%4."/>
      <w:lvlJc w:val="left"/>
      <w:pPr>
        <w:ind w:left="3806" w:hanging="360"/>
      </w:pPr>
    </w:lvl>
    <w:lvl w:ilvl="4" w:tplc="08090019" w:tentative="1">
      <w:start w:val="1"/>
      <w:numFmt w:val="lowerLetter"/>
      <w:lvlText w:val="%5."/>
      <w:lvlJc w:val="left"/>
      <w:pPr>
        <w:ind w:left="4526" w:hanging="360"/>
      </w:pPr>
    </w:lvl>
    <w:lvl w:ilvl="5" w:tplc="0809001B" w:tentative="1">
      <w:start w:val="1"/>
      <w:numFmt w:val="lowerRoman"/>
      <w:lvlText w:val="%6."/>
      <w:lvlJc w:val="right"/>
      <w:pPr>
        <w:ind w:left="5246" w:hanging="180"/>
      </w:pPr>
    </w:lvl>
    <w:lvl w:ilvl="6" w:tplc="0809000F" w:tentative="1">
      <w:start w:val="1"/>
      <w:numFmt w:val="decimal"/>
      <w:lvlText w:val="%7."/>
      <w:lvlJc w:val="left"/>
      <w:pPr>
        <w:ind w:left="5966" w:hanging="360"/>
      </w:pPr>
    </w:lvl>
    <w:lvl w:ilvl="7" w:tplc="08090019" w:tentative="1">
      <w:start w:val="1"/>
      <w:numFmt w:val="lowerLetter"/>
      <w:lvlText w:val="%8."/>
      <w:lvlJc w:val="left"/>
      <w:pPr>
        <w:ind w:left="6686" w:hanging="360"/>
      </w:pPr>
    </w:lvl>
    <w:lvl w:ilvl="8" w:tplc="0809001B" w:tentative="1">
      <w:start w:val="1"/>
      <w:numFmt w:val="lowerRoman"/>
      <w:lvlText w:val="%9."/>
      <w:lvlJc w:val="right"/>
      <w:pPr>
        <w:ind w:left="7406" w:hanging="180"/>
      </w:pPr>
    </w:lvl>
  </w:abstractNum>
  <w:abstractNum w:abstractNumId="7" w15:restartNumberingAfterBreak="0">
    <w:nsid w:val="163D450A"/>
    <w:multiLevelType w:val="hybridMultilevel"/>
    <w:tmpl w:val="C4E662DA"/>
    <w:lvl w:ilvl="0" w:tplc="AA82D476">
      <w:start w:val="1"/>
      <w:numFmt w:val="decimal"/>
      <w:lvlText w:val="%1."/>
      <w:lvlJc w:val="left"/>
      <w:pPr>
        <w:ind w:left="2880" w:hanging="360"/>
      </w:pPr>
      <w:rPr>
        <w:rFonts w:hint="default"/>
        <w:b/>
        <w:color w:val="2B5582" w:themeColor="accent1" w:themeShade="BF"/>
        <w:sz w:val="20"/>
        <w:szCs w:val="20"/>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1F99769E"/>
    <w:multiLevelType w:val="hybridMultilevel"/>
    <w:tmpl w:val="709EFB7A"/>
    <w:lvl w:ilvl="0" w:tplc="30F0F338">
      <w:start w:val="1"/>
      <w:numFmt w:val="decimal"/>
      <w:lvlText w:val="%1."/>
      <w:lvlJc w:val="left"/>
      <w:pPr>
        <w:ind w:left="502" w:hanging="360"/>
      </w:pPr>
      <w:rPr>
        <w:b/>
        <w:color w:val="FFC000"/>
      </w:rPr>
    </w:lvl>
    <w:lvl w:ilvl="1" w:tplc="04080019">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9" w15:restartNumberingAfterBreak="0">
    <w:nsid w:val="26D1596D"/>
    <w:multiLevelType w:val="hybridMultilevel"/>
    <w:tmpl w:val="DA5E072A"/>
    <w:lvl w:ilvl="0" w:tplc="A3D48850">
      <w:numFmt w:val="bullet"/>
      <w:lvlText w:val="•"/>
      <w:lvlJc w:val="left"/>
      <w:pPr>
        <w:ind w:left="1080" w:hanging="720"/>
      </w:pPr>
      <w:rPr>
        <w:rFonts w:ascii="Calibri" w:eastAsiaTheme="minorHAnsi" w:hAnsi="Calibr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D234FF1"/>
    <w:multiLevelType w:val="hybridMultilevel"/>
    <w:tmpl w:val="4D506F0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2D606E02"/>
    <w:multiLevelType w:val="multilevel"/>
    <w:tmpl w:val="B8F65172"/>
    <w:lvl w:ilvl="0">
      <w:start w:val="1"/>
      <w:numFmt w:val="decimal"/>
      <w:lvlText w:val="%1."/>
      <w:lvlJc w:val="left"/>
      <w:pPr>
        <w:ind w:left="527" w:hanging="286"/>
      </w:pPr>
      <w:rPr>
        <w:rFonts w:hint="default"/>
        <w:b w:val="0"/>
        <w:bCs w:val="0"/>
        <w:color w:val="auto"/>
        <w:w w:val="99"/>
        <w:sz w:val="20"/>
        <w:szCs w:val="20"/>
        <w:u w:color="023E87"/>
      </w:rPr>
    </w:lvl>
    <w:lvl w:ilvl="1">
      <w:numFmt w:val="bullet"/>
      <w:lvlText w:val="•"/>
      <w:lvlJc w:val="left"/>
      <w:pPr>
        <w:ind w:left="1392" w:hanging="286"/>
      </w:pPr>
    </w:lvl>
    <w:lvl w:ilvl="2">
      <w:numFmt w:val="bullet"/>
      <w:lvlText w:val="•"/>
      <w:lvlJc w:val="left"/>
      <w:pPr>
        <w:ind w:left="2265" w:hanging="286"/>
      </w:pPr>
    </w:lvl>
    <w:lvl w:ilvl="3">
      <w:numFmt w:val="bullet"/>
      <w:lvlText w:val="•"/>
      <w:lvlJc w:val="left"/>
      <w:pPr>
        <w:ind w:left="3137" w:hanging="286"/>
      </w:pPr>
    </w:lvl>
    <w:lvl w:ilvl="4">
      <w:numFmt w:val="bullet"/>
      <w:lvlText w:val="•"/>
      <w:lvlJc w:val="left"/>
      <w:pPr>
        <w:ind w:left="4010" w:hanging="286"/>
      </w:pPr>
    </w:lvl>
    <w:lvl w:ilvl="5">
      <w:numFmt w:val="bullet"/>
      <w:lvlText w:val="•"/>
      <w:lvlJc w:val="left"/>
      <w:pPr>
        <w:ind w:left="4883" w:hanging="286"/>
      </w:pPr>
    </w:lvl>
    <w:lvl w:ilvl="6">
      <w:numFmt w:val="bullet"/>
      <w:lvlText w:val="•"/>
      <w:lvlJc w:val="left"/>
      <w:pPr>
        <w:ind w:left="5755" w:hanging="286"/>
      </w:pPr>
    </w:lvl>
    <w:lvl w:ilvl="7">
      <w:numFmt w:val="bullet"/>
      <w:lvlText w:val="•"/>
      <w:lvlJc w:val="left"/>
      <w:pPr>
        <w:ind w:left="6628" w:hanging="286"/>
      </w:pPr>
    </w:lvl>
    <w:lvl w:ilvl="8">
      <w:numFmt w:val="bullet"/>
      <w:lvlText w:val="•"/>
      <w:lvlJc w:val="left"/>
      <w:pPr>
        <w:ind w:left="7501" w:hanging="286"/>
      </w:pPr>
    </w:lvl>
  </w:abstractNum>
  <w:abstractNum w:abstractNumId="12" w15:restartNumberingAfterBreak="0">
    <w:nsid w:val="37184DA5"/>
    <w:multiLevelType w:val="hybridMultilevel"/>
    <w:tmpl w:val="AB92B39C"/>
    <w:lvl w:ilvl="0" w:tplc="F8C2E378">
      <w:start w:val="1"/>
      <w:numFmt w:val="decimal"/>
      <w:lvlText w:val="%1."/>
      <w:lvlJc w:val="left"/>
      <w:pPr>
        <w:ind w:left="2880" w:hanging="360"/>
      </w:pPr>
      <w:rPr>
        <w:rFonts w:hint="default"/>
        <w:b/>
        <w:color w:val="2B5582" w:themeColor="accent1" w:themeShade="BF"/>
        <w:sz w:val="20"/>
        <w:szCs w:val="20"/>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37C54981"/>
    <w:multiLevelType w:val="hybridMultilevel"/>
    <w:tmpl w:val="1BEE0378"/>
    <w:lvl w:ilvl="0" w:tplc="8F10FF4E">
      <w:start w:val="1"/>
      <w:numFmt w:val="bullet"/>
      <w:lvlText w:val=""/>
      <w:lvlPicBulletId w:val="2"/>
      <w:lvlJc w:val="left"/>
      <w:pPr>
        <w:tabs>
          <w:tab w:val="num" w:pos="720"/>
        </w:tabs>
        <w:ind w:left="720" w:hanging="360"/>
      </w:pPr>
      <w:rPr>
        <w:rFonts w:ascii="Symbol" w:hAnsi="Symbol" w:hint="default"/>
      </w:rPr>
    </w:lvl>
    <w:lvl w:ilvl="1" w:tplc="131EDA48" w:tentative="1">
      <w:start w:val="1"/>
      <w:numFmt w:val="bullet"/>
      <w:lvlText w:val=""/>
      <w:lvlJc w:val="left"/>
      <w:pPr>
        <w:tabs>
          <w:tab w:val="num" w:pos="1440"/>
        </w:tabs>
        <w:ind w:left="1440" w:hanging="360"/>
      </w:pPr>
      <w:rPr>
        <w:rFonts w:ascii="Symbol" w:hAnsi="Symbol" w:hint="default"/>
      </w:rPr>
    </w:lvl>
    <w:lvl w:ilvl="2" w:tplc="885237D6" w:tentative="1">
      <w:start w:val="1"/>
      <w:numFmt w:val="bullet"/>
      <w:lvlText w:val=""/>
      <w:lvlJc w:val="left"/>
      <w:pPr>
        <w:tabs>
          <w:tab w:val="num" w:pos="2160"/>
        </w:tabs>
        <w:ind w:left="2160" w:hanging="360"/>
      </w:pPr>
      <w:rPr>
        <w:rFonts w:ascii="Symbol" w:hAnsi="Symbol" w:hint="default"/>
      </w:rPr>
    </w:lvl>
    <w:lvl w:ilvl="3" w:tplc="8602A346" w:tentative="1">
      <w:start w:val="1"/>
      <w:numFmt w:val="bullet"/>
      <w:lvlText w:val=""/>
      <w:lvlJc w:val="left"/>
      <w:pPr>
        <w:tabs>
          <w:tab w:val="num" w:pos="2880"/>
        </w:tabs>
        <w:ind w:left="2880" w:hanging="360"/>
      </w:pPr>
      <w:rPr>
        <w:rFonts w:ascii="Symbol" w:hAnsi="Symbol" w:hint="default"/>
      </w:rPr>
    </w:lvl>
    <w:lvl w:ilvl="4" w:tplc="267E0538" w:tentative="1">
      <w:start w:val="1"/>
      <w:numFmt w:val="bullet"/>
      <w:lvlText w:val=""/>
      <w:lvlJc w:val="left"/>
      <w:pPr>
        <w:tabs>
          <w:tab w:val="num" w:pos="3600"/>
        </w:tabs>
        <w:ind w:left="3600" w:hanging="360"/>
      </w:pPr>
      <w:rPr>
        <w:rFonts w:ascii="Symbol" w:hAnsi="Symbol" w:hint="default"/>
      </w:rPr>
    </w:lvl>
    <w:lvl w:ilvl="5" w:tplc="A668941A" w:tentative="1">
      <w:start w:val="1"/>
      <w:numFmt w:val="bullet"/>
      <w:lvlText w:val=""/>
      <w:lvlJc w:val="left"/>
      <w:pPr>
        <w:tabs>
          <w:tab w:val="num" w:pos="4320"/>
        </w:tabs>
        <w:ind w:left="4320" w:hanging="360"/>
      </w:pPr>
      <w:rPr>
        <w:rFonts w:ascii="Symbol" w:hAnsi="Symbol" w:hint="default"/>
      </w:rPr>
    </w:lvl>
    <w:lvl w:ilvl="6" w:tplc="4B16EC44" w:tentative="1">
      <w:start w:val="1"/>
      <w:numFmt w:val="bullet"/>
      <w:lvlText w:val=""/>
      <w:lvlJc w:val="left"/>
      <w:pPr>
        <w:tabs>
          <w:tab w:val="num" w:pos="5040"/>
        </w:tabs>
        <w:ind w:left="5040" w:hanging="360"/>
      </w:pPr>
      <w:rPr>
        <w:rFonts w:ascii="Symbol" w:hAnsi="Symbol" w:hint="default"/>
      </w:rPr>
    </w:lvl>
    <w:lvl w:ilvl="7" w:tplc="87C4F5F4" w:tentative="1">
      <w:start w:val="1"/>
      <w:numFmt w:val="bullet"/>
      <w:lvlText w:val=""/>
      <w:lvlJc w:val="left"/>
      <w:pPr>
        <w:tabs>
          <w:tab w:val="num" w:pos="5760"/>
        </w:tabs>
        <w:ind w:left="5760" w:hanging="360"/>
      </w:pPr>
      <w:rPr>
        <w:rFonts w:ascii="Symbol" w:hAnsi="Symbol" w:hint="default"/>
      </w:rPr>
    </w:lvl>
    <w:lvl w:ilvl="8" w:tplc="33103EA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A576187"/>
    <w:multiLevelType w:val="hybridMultilevel"/>
    <w:tmpl w:val="91A8593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3B4D3594"/>
    <w:multiLevelType w:val="hybridMultilevel"/>
    <w:tmpl w:val="C3EE1B5C"/>
    <w:lvl w:ilvl="0" w:tplc="4620A314">
      <w:start w:val="1"/>
      <w:numFmt w:val="lowerRoman"/>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15:restartNumberingAfterBreak="0">
    <w:nsid w:val="3CF2404E"/>
    <w:multiLevelType w:val="hybridMultilevel"/>
    <w:tmpl w:val="4B28C5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0" w:hanging="360"/>
      </w:pPr>
      <w:rPr>
        <w:rFonts w:ascii="Courier New" w:hAnsi="Courier New" w:cs="Courier New" w:hint="default"/>
      </w:rPr>
    </w:lvl>
    <w:lvl w:ilvl="2" w:tplc="04080005" w:tentative="1">
      <w:start w:val="1"/>
      <w:numFmt w:val="bullet"/>
      <w:lvlText w:val=""/>
      <w:lvlJc w:val="left"/>
      <w:pPr>
        <w:ind w:left="720" w:hanging="360"/>
      </w:pPr>
      <w:rPr>
        <w:rFonts w:ascii="Wingdings" w:hAnsi="Wingdings" w:hint="default"/>
      </w:rPr>
    </w:lvl>
    <w:lvl w:ilvl="3" w:tplc="04080001" w:tentative="1">
      <w:start w:val="1"/>
      <w:numFmt w:val="bullet"/>
      <w:lvlText w:val=""/>
      <w:lvlJc w:val="left"/>
      <w:pPr>
        <w:ind w:left="1440" w:hanging="360"/>
      </w:pPr>
      <w:rPr>
        <w:rFonts w:ascii="Symbol" w:hAnsi="Symbol" w:hint="default"/>
      </w:rPr>
    </w:lvl>
    <w:lvl w:ilvl="4" w:tplc="04080003" w:tentative="1">
      <w:start w:val="1"/>
      <w:numFmt w:val="bullet"/>
      <w:lvlText w:val="o"/>
      <w:lvlJc w:val="left"/>
      <w:pPr>
        <w:ind w:left="2160" w:hanging="360"/>
      </w:pPr>
      <w:rPr>
        <w:rFonts w:ascii="Courier New" w:hAnsi="Courier New" w:cs="Courier New" w:hint="default"/>
      </w:rPr>
    </w:lvl>
    <w:lvl w:ilvl="5" w:tplc="04080005" w:tentative="1">
      <w:start w:val="1"/>
      <w:numFmt w:val="bullet"/>
      <w:lvlText w:val=""/>
      <w:lvlJc w:val="left"/>
      <w:pPr>
        <w:ind w:left="2880" w:hanging="360"/>
      </w:pPr>
      <w:rPr>
        <w:rFonts w:ascii="Wingdings" w:hAnsi="Wingdings" w:hint="default"/>
      </w:rPr>
    </w:lvl>
    <w:lvl w:ilvl="6" w:tplc="04080001" w:tentative="1">
      <w:start w:val="1"/>
      <w:numFmt w:val="bullet"/>
      <w:lvlText w:val=""/>
      <w:lvlJc w:val="left"/>
      <w:pPr>
        <w:ind w:left="3600" w:hanging="360"/>
      </w:pPr>
      <w:rPr>
        <w:rFonts w:ascii="Symbol" w:hAnsi="Symbol" w:hint="default"/>
      </w:rPr>
    </w:lvl>
    <w:lvl w:ilvl="7" w:tplc="04080003" w:tentative="1">
      <w:start w:val="1"/>
      <w:numFmt w:val="bullet"/>
      <w:lvlText w:val="o"/>
      <w:lvlJc w:val="left"/>
      <w:pPr>
        <w:ind w:left="4320" w:hanging="360"/>
      </w:pPr>
      <w:rPr>
        <w:rFonts w:ascii="Courier New" w:hAnsi="Courier New" w:cs="Courier New" w:hint="default"/>
      </w:rPr>
    </w:lvl>
    <w:lvl w:ilvl="8" w:tplc="04080005" w:tentative="1">
      <w:start w:val="1"/>
      <w:numFmt w:val="bullet"/>
      <w:lvlText w:val=""/>
      <w:lvlJc w:val="left"/>
      <w:pPr>
        <w:ind w:left="5040" w:hanging="360"/>
      </w:pPr>
      <w:rPr>
        <w:rFonts w:ascii="Wingdings" w:hAnsi="Wingdings" w:hint="default"/>
      </w:rPr>
    </w:lvl>
  </w:abstractNum>
  <w:abstractNum w:abstractNumId="17" w15:restartNumberingAfterBreak="0">
    <w:nsid w:val="40413A68"/>
    <w:multiLevelType w:val="hybridMultilevel"/>
    <w:tmpl w:val="C1EC35EA"/>
    <w:lvl w:ilvl="0" w:tplc="50285DF2">
      <w:start w:val="1"/>
      <w:numFmt w:val="bullet"/>
      <w:lvlText w:val=""/>
      <w:lvlJc w:val="left"/>
      <w:pPr>
        <w:ind w:left="720" w:hanging="360"/>
      </w:pPr>
      <w:rPr>
        <w:rFonts w:ascii="Symbol" w:hAnsi="Symbol" w:hint="default"/>
        <w:color w:val="FFC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52720F6"/>
    <w:multiLevelType w:val="hybridMultilevel"/>
    <w:tmpl w:val="54E695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7794336"/>
    <w:multiLevelType w:val="hybridMultilevel"/>
    <w:tmpl w:val="467C619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524200F5"/>
    <w:multiLevelType w:val="hybridMultilevel"/>
    <w:tmpl w:val="8BA48B6E"/>
    <w:lvl w:ilvl="0" w:tplc="900EE7D4">
      <w:start w:val="1"/>
      <w:numFmt w:val="bullet"/>
      <w:lvlText w:val=""/>
      <w:lvlPicBulletId w:val="0"/>
      <w:lvlJc w:val="left"/>
      <w:pPr>
        <w:ind w:left="720" w:hanging="360"/>
      </w:pPr>
      <w:rPr>
        <w:rFonts w:ascii="Symbol" w:hAnsi="Symbol" w:hint="default"/>
        <w:color w:val="auto"/>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4492C81"/>
    <w:multiLevelType w:val="hybridMultilevel"/>
    <w:tmpl w:val="AA9A8BA4"/>
    <w:lvl w:ilvl="0" w:tplc="A422406E">
      <w:start w:val="1"/>
      <w:numFmt w:val="bullet"/>
      <w:lvlText w:val=""/>
      <w:lvlJc w:val="left"/>
      <w:pPr>
        <w:ind w:left="578" w:hanging="360"/>
      </w:pPr>
      <w:rPr>
        <w:rFonts w:ascii="Symbol" w:hAnsi="Symbol" w:hint="default"/>
        <w:color w:val="auto"/>
        <w:sz w:val="20"/>
        <w:szCs w:val="20"/>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2" w15:restartNumberingAfterBreak="0">
    <w:nsid w:val="5A4A0C45"/>
    <w:multiLevelType w:val="hybridMultilevel"/>
    <w:tmpl w:val="FEACAAB6"/>
    <w:lvl w:ilvl="0" w:tplc="7B42F334">
      <w:start w:val="1"/>
      <w:numFmt w:val="bullet"/>
      <w:lvlText w:val=""/>
      <w:lvlJc w:val="left"/>
      <w:pPr>
        <w:ind w:left="720" w:hanging="360"/>
      </w:pPr>
      <w:rPr>
        <w:rFonts w:ascii="Wingdings" w:hAnsi="Wingdings" w:hint="default"/>
        <w:lang w:val="el-GR"/>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C991070"/>
    <w:multiLevelType w:val="hybridMultilevel"/>
    <w:tmpl w:val="9C3AFD44"/>
    <w:lvl w:ilvl="0" w:tplc="E3442374">
      <w:start w:val="231"/>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4C10099"/>
    <w:multiLevelType w:val="hybridMultilevel"/>
    <w:tmpl w:val="33A6B04A"/>
    <w:lvl w:ilvl="0" w:tplc="0408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2505C1"/>
    <w:multiLevelType w:val="hybridMultilevel"/>
    <w:tmpl w:val="C33C81B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892046E"/>
    <w:multiLevelType w:val="hybridMultilevel"/>
    <w:tmpl w:val="1B04D692"/>
    <w:lvl w:ilvl="0" w:tplc="50E01FD0">
      <w:start w:val="1"/>
      <w:numFmt w:val="decimal"/>
      <w:lvlText w:val="(%1)"/>
      <w:lvlJc w:val="left"/>
      <w:pPr>
        <w:ind w:left="360" w:hanging="360"/>
      </w:pPr>
      <w:rPr>
        <w:rFonts w:asciiTheme="minorHAnsi" w:eastAsiaTheme="minorHAnsi" w:hAnsiTheme="minorHAnsi" w:cstheme="majorHAnsi"/>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6A6733A7"/>
    <w:multiLevelType w:val="multilevel"/>
    <w:tmpl w:val="803E5514"/>
    <w:lvl w:ilvl="0">
      <w:start w:val="1"/>
      <w:numFmt w:val="bullet"/>
      <w:lvlText w:val=""/>
      <w:lvlJc w:val="left"/>
      <w:pPr>
        <w:ind w:left="527" w:hanging="286"/>
      </w:pPr>
      <w:rPr>
        <w:rFonts w:ascii="Symbol" w:hAnsi="Symbol" w:hint="default"/>
        <w:b w:val="0"/>
        <w:bCs w:val="0"/>
        <w:color w:val="023E87"/>
        <w:w w:val="99"/>
        <w:sz w:val="20"/>
        <w:szCs w:val="20"/>
        <w:u w:color="023E87"/>
      </w:rPr>
    </w:lvl>
    <w:lvl w:ilvl="1">
      <w:start w:val="1"/>
      <w:numFmt w:val="bullet"/>
      <w:lvlText w:val="−"/>
      <w:lvlJc w:val="left"/>
      <w:pPr>
        <w:ind w:left="1392" w:hanging="286"/>
      </w:pPr>
      <w:rPr>
        <w:rFonts w:ascii="Calibri" w:hAnsi="Calibri" w:hint="default"/>
      </w:rPr>
    </w:lvl>
    <w:lvl w:ilvl="2">
      <w:numFmt w:val="bullet"/>
      <w:lvlText w:val="•"/>
      <w:lvlJc w:val="left"/>
      <w:pPr>
        <w:ind w:left="2265" w:hanging="286"/>
      </w:pPr>
    </w:lvl>
    <w:lvl w:ilvl="3">
      <w:numFmt w:val="bullet"/>
      <w:lvlText w:val="•"/>
      <w:lvlJc w:val="left"/>
      <w:pPr>
        <w:ind w:left="3137" w:hanging="286"/>
      </w:pPr>
    </w:lvl>
    <w:lvl w:ilvl="4">
      <w:numFmt w:val="bullet"/>
      <w:lvlText w:val="•"/>
      <w:lvlJc w:val="left"/>
      <w:pPr>
        <w:ind w:left="4010" w:hanging="286"/>
      </w:pPr>
    </w:lvl>
    <w:lvl w:ilvl="5">
      <w:numFmt w:val="bullet"/>
      <w:lvlText w:val="•"/>
      <w:lvlJc w:val="left"/>
      <w:pPr>
        <w:ind w:left="4883" w:hanging="286"/>
      </w:pPr>
    </w:lvl>
    <w:lvl w:ilvl="6">
      <w:numFmt w:val="bullet"/>
      <w:lvlText w:val="•"/>
      <w:lvlJc w:val="left"/>
      <w:pPr>
        <w:ind w:left="5755" w:hanging="286"/>
      </w:pPr>
    </w:lvl>
    <w:lvl w:ilvl="7">
      <w:numFmt w:val="bullet"/>
      <w:lvlText w:val="•"/>
      <w:lvlJc w:val="left"/>
      <w:pPr>
        <w:ind w:left="6628" w:hanging="286"/>
      </w:pPr>
    </w:lvl>
    <w:lvl w:ilvl="8">
      <w:numFmt w:val="bullet"/>
      <w:lvlText w:val="•"/>
      <w:lvlJc w:val="left"/>
      <w:pPr>
        <w:ind w:left="7501" w:hanging="286"/>
      </w:pPr>
    </w:lvl>
  </w:abstractNum>
  <w:abstractNum w:abstractNumId="28" w15:restartNumberingAfterBreak="0">
    <w:nsid w:val="6E032BE8"/>
    <w:multiLevelType w:val="hybridMultilevel"/>
    <w:tmpl w:val="5FB885AC"/>
    <w:lvl w:ilvl="0" w:tplc="6C3E16C0">
      <w:start w:val="1"/>
      <w:numFmt w:val="bullet"/>
      <w:lvlText w:val=""/>
      <w:lvlJc w:val="left"/>
      <w:pPr>
        <w:ind w:left="720" w:hanging="360"/>
      </w:pPr>
      <w:rPr>
        <w:rFonts w:ascii="Symbol" w:hAnsi="Symbol" w:hint="default"/>
        <w:color w:val="0070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F9F7C09"/>
    <w:multiLevelType w:val="hybridMultilevel"/>
    <w:tmpl w:val="7338B3F2"/>
    <w:lvl w:ilvl="0" w:tplc="465A8084">
      <w:start w:val="1"/>
      <w:numFmt w:val="bullet"/>
      <w:lvlText w:val=""/>
      <w:lvlJc w:val="left"/>
      <w:pPr>
        <w:ind w:left="720" w:hanging="360"/>
      </w:pPr>
      <w:rPr>
        <w:rFonts w:ascii="Symbol" w:hAnsi="Symbol" w:hint="default"/>
        <w:color w:val="3A73AE"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3D149C"/>
    <w:multiLevelType w:val="hybridMultilevel"/>
    <w:tmpl w:val="D554B404"/>
    <w:lvl w:ilvl="0" w:tplc="465A8084">
      <w:start w:val="1"/>
      <w:numFmt w:val="bullet"/>
      <w:lvlText w:val=""/>
      <w:lvlJc w:val="left"/>
      <w:pPr>
        <w:ind w:left="720" w:hanging="360"/>
      </w:pPr>
      <w:rPr>
        <w:rFonts w:ascii="Symbol" w:hAnsi="Symbol" w:hint="default"/>
        <w:color w:val="3A73AE" w:themeColor="accent1"/>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457026B"/>
    <w:multiLevelType w:val="hybridMultilevel"/>
    <w:tmpl w:val="F738AA98"/>
    <w:lvl w:ilvl="0" w:tplc="A422406E">
      <w:start w:val="1"/>
      <w:numFmt w:val="bullet"/>
      <w:lvlText w:val=""/>
      <w:lvlJc w:val="left"/>
      <w:pPr>
        <w:ind w:left="578" w:hanging="360"/>
      </w:pPr>
      <w:rPr>
        <w:rFonts w:ascii="Symbol" w:hAnsi="Symbol" w:hint="default"/>
        <w:color w:val="auto"/>
        <w:sz w:val="20"/>
        <w:szCs w:val="20"/>
      </w:rPr>
    </w:lvl>
    <w:lvl w:ilvl="1" w:tplc="768C4A0A">
      <w:numFmt w:val="bullet"/>
      <w:lvlText w:val="-"/>
      <w:lvlJc w:val="left"/>
      <w:pPr>
        <w:ind w:left="1298" w:hanging="360"/>
      </w:pPr>
      <w:rPr>
        <w:rFonts w:ascii="Piraeus Sans" w:eastAsia="Calibri" w:hAnsi="Piraeus Sans" w:cs="Piraeus Sans" w:hint="default"/>
        <w:color w:val="414042"/>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2" w15:restartNumberingAfterBreak="0">
    <w:nsid w:val="74A80FCC"/>
    <w:multiLevelType w:val="hybridMultilevel"/>
    <w:tmpl w:val="82881C36"/>
    <w:lvl w:ilvl="0" w:tplc="465A8084">
      <w:start w:val="1"/>
      <w:numFmt w:val="bullet"/>
      <w:lvlText w:val=""/>
      <w:lvlJc w:val="left"/>
      <w:pPr>
        <w:ind w:left="578" w:hanging="360"/>
      </w:pPr>
      <w:rPr>
        <w:rFonts w:ascii="Symbol" w:hAnsi="Symbol" w:hint="default"/>
        <w:color w:val="3A73AE" w:themeColor="accent1"/>
        <w:sz w:val="20"/>
        <w:szCs w:val="20"/>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3" w15:restartNumberingAfterBreak="0">
    <w:nsid w:val="77775BAB"/>
    <w:multiLevelType w:val="hybridMultilevel"/>
    <w:tmpl w:val="D0EEB1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B1E02A8"/>
    <w:multiLevelType w:val="hybridMultilevel"/>
    <w:tmpl w:val="9FA02D84"/>
    <w:lvl w:ilvl="0" w:tplc="EE143012">
      <w:start w:val="231"/>
      <w:numFmt w:val="bullet"/>
      <w:lvlText w:val="-"/>
      <w:lvlJc w:val="left"/>
      <w:pPr>
        <w:ind w:left="384" w:hanging="360"/>
      </w:pPr>
      <w:rPr>
        <w:rFonts w:ascii="Calibri" w:eastAsiaTheme="minorEastAsia" w:hAnsi="Calibri" w:cs="Calibri" w:hint="default"/>
      </w:rPr>
    </w:lvl>
    <w:lvl w:ilvl="1" w:tplc="04080003" w:tentative="1">
      <w:start w:val="1"/>
      <w:numFmt w:val="bullet"/>
      <w:lvlText w:val="o"/>
      <w:lvlJc w:val="left"/>
      <w:pPr>
        <w:ind w:left="1104" w:hanging="360"/>
      </w:pPr>
      <w:rPr>
        <w:rFonts w:ascii="Courier New" w:hAnsi="Courier New" w:cs="Courier New" w:hint="default"/>
      </w:rPr>
    </w:lvl>
    <w:lvl w:ilvl="2" w:tplc="04080005" w:tentative="1">
      <w:start w:val="1"/>
      <w:numFmt w:val="bullet"/>
      <w:lvlText w:val=""/>
      <w:lvlJc w:val="left"/>
      <w:pPr>
        <w:ind w:left="1824" w:hanging="360"/>
      </w:pPr>
      <w:rPr>
        <w:rFonts w:ascii="Wingdings" w:hAnsi="Wingdings" w:hint="default"/>
      </w:rPr>
    </w:lvl>
    <w:lvl w:ilvl="3" w:tplc="04080001" w:tentative="1">
      <w:start w:val="1"/>
      <w:numFmt w:val="bullet"/>
      <w:lvlText w:val=""/>
      <w:lvlJc w:val="left"/>
      <w:pPr>
        <w:ind w:left="2544" w:hanging="360"/>
      </w:pPr>
      <w:rPr>
        <w:rFonts w:ascii="Symbol" w:hAnsi="Symbol" w:hint="default"/>
      </w:rPr>
    </w:lvl>
    <w:lvl w:ilvl="4" w:tplc="04080003" w:tentative="1">
      <w:start w:val="1"/>
      <w:numFmt w:val="bullet"/>
      <w:lvlText w:val="o"/>
      <w:lvlJc w:val="left"/>
      <w:pPr>
        <w:ind w:left="3264" w:hanging="360"/>
      </w:pPr>
      <w:rPr>
        <w:rFonts w:ascii="Courier New" w:hAnsi="Courier New" w:cs="Courier New" w:hint="default"/>
      </w:rPr>
    </w:lvl>
    <w:lvl w:ilvl="5" w:tplc="04080005" w:tentative="1">
      <w:start w:val="1"/>
      <w:numFmt w:val="bullet"/>
      <w:lvlText w:val=""/>
      <w:lvlJc w:val="left"/>
      <w:pPr>
        <w:ind w:left="3984" w:hanging="360"/>
      </w:pPr>
      <w:rPr>
        <w:rFonts w:ascii="Wingdings" w:hAnsi="Wingdings" w:hint="default"/>
      </w:rPr>
    </w:lvl>
    <w:lvl w:ilvl="6" w:tplc="04080001" w:tentative="1">
      <w:start w:val="1"/>
      <w:numFmt w:val="bullet"/>
      <w:lvlText w:val=""/>
      <w:lvlJc w:val="left"/>
      <w:pPr>
        <w:ind w:left="4704" w:hanging="360"/>
      </w:pPr>
      <w:rPr>
        <w:rFonts w:ascii="Symbol" w:hAnsi="Symbol" w:hint="default"/>
      </w:rPr>
    </w:lvl>
    <w:lvl w:ilvl="7" w:tplc="04080003" w:tentative="1">
      <w:start w:val="1"/>
      <w:numFmt w:val="bullet"/>
      <w:lvlText w:val="o"/>
      <w:lvlJc w:val="left"/>
      <w:pPr>
        <w:ind w:left="5424" w:hanging="360"/>
      </w:pPr>
      <w:rPr>
        <w:rFonts w:ascii="Courier New" w:hAnsi="Courier New" w:cs="Courier New" w:hint="default"/>
      </w:rPr>
    </w:lvl>
    <w:lvl w:ilvl="8" w:tplc="04080005" w:tentative="1">
      <w:start w:val="1"/>
      <w:numFmt w:val="bullet"/>
      <w:lvlText w:val=""/>
      <w:lvlJc w:val="left"/>
      <w:pPr>
        <w:ind w:left="6144" w:hanging="360"/>
      </w:pPr>
      <w:rPr>
        <w:rFonts w:ascii="Wingdings" w:hAnsi="Wingdings" w:hint="default"/>
      </w:rPr>
    </w:lvl>
  </w:abstractNum>
  <w:abstractNum w:abstractNumId="35" w15:restartNumberingAfterBreak="0">
    <w:nsid w:val="7DA5056F"/>
    <w:multiLevelType w:val="hybridMultilevel"/>
    <w:tmpl w:val="31060A2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15:restartNumberingAfterBreak="0">
    <w:nsid w:val="7F7E61CD"/>
    <w:multiLevelType w:val="hybridMultilevel"/>
    <w:tmpl w:val="67CC7CE8"/>
    <w:lvl w:ilvl="0" w:tplc="1108CC74">
      <w:start w:val="1"/>
      <w:numFmt w:val="bullet"/>
      <w:lvlText w:val=""/>
      <w:lvlJc w:val="left"/>
      <w:pPr>
        <w:ind w:left="720" w:hanging="360"/>
      </w:pPr>
      <w:rPr>
        <w:rFonts w:ascii="Symbol" w:hAnsi="Symbol" w:hint="default"/>
        <w:color w:val="003C96" w:themeColor="text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4"/>
  </w:num>
  <w:num w:numId="4">
    <w:abstractNumId w:val="5"/>
  </w:num>
  <w:num w:numId="5">
    <w:abstractNumId w:val="22"/>
  </w:num>
  <w:num w:numId="6">
    <w:abstractNumId w:val="28"/>
  </w:num>
  <w:num w:numId="7">
    <w:abstractNumId w:val="9"/>
  </w:num>
  <w:num w:numId="8">
    <w:abstractNumId w:val="36"/>
  </w:num>
  <w:num w:numId="9">
    <w:abstractNumId w:val="26"/>
  </w:num>
  <w:num w:numId="10">
    <w:abstractNumId w:val="33"/>
  </w:num>
  <w:num w:numId="11">
    <w:abstractNumId w:val="29"/>
  </w:num>
  <w:num w:numId="12">
    <w:abstractNumId w:val="13"/>
  </w:num>
  <w:num w:numId="13">
    <w:abstractNumId w:val="29"/>
  </w:num>
  <w:num w:numId="14">
    <w:abstractNumId w:val="10"/>
  </w:num>
  <w:num w:numId="15">
    <w:abstractNumId w:val="21"/>
  </w:num>
  <w:num w:numId="16">
    <w:abstractNumId w:val="1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7"/>
  </w:num>
  <w:num w:numId="20">
    <w:abstractNumId w:val="8"/>
  </w:num>
  <w:num w:numId="21">
    <w:abstractNumId w:val="3"/>
  </w:num>
  <w:num w:numId="22">
    <w:abstractNumId w:val="23"/>
  </w:num>
  <w:num w:numId="23">
    <w:abstractNumId w:val="34"/>
  </w:num>
  <w:num w:numId="24">
    <w:abstractNumId w:val="35"/>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2"/>
  </w:num>
  <w:num w:numId="28">
    <w:abstractNumId w:val="31"/>
  </w:num>
  <w:num w:numId="29">
    <w:abstractNumId w:val="0"/>
  </w:num>
  <w:num w:numId="30">
    <w:abstractNumId w:val="16"/>
  </w:num>
  <w:num w:numId="31">
    <w:abstractNumId w:val="19"/>
  </w:num>
  <w:num w:numId="32">
    <w:abstractNumId w:val="27"/>
  </w:num>
  <w:num w:numId="33">
    <w:abstractNumId w:val="11"/>
  </w:num>
  <w:num w:numId="34">
    <w:abstractNumId w:val="2"/>
  </w:num>
  <w:num w:numId="35">
    <w:abstractNumId w:val="1"/>
  </w:num>
  <w:num w:numId="36">
    <w:abstractNumId w:val="30"/>
  </w:num>
  <w:num w:numId="37">
    <w:abstractNumId w:val="1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14E18"/>
    <w:rsid w:val="000007A3"/>
    <w:rsid w:val="0000082A"/>
    <w:rsid w:val="00000BC6"/>
    <w:rsid w:val="00000F68"/>
    <w:rsid w:val="00001E6E"/>
    <w:rsid w:val="00002FDD"/>
    <w:rsid w:val="0000346D"/>
    <w:rsid w:val="00003672"/>
    <w:rsid w:val="00003855"/>
    <w:rsid w:val="00003A09"/>
    <w:rsid w:val="00003B8A"/>
    <w:rsid w:val="00003FFC"/>
    <w:rsid w:val="0000442A"/>
    <w:rsid w:val="0000443E"/>
    <w:rsid w:val="00004ACD"/>
    <w:rsid w:val="0000575F"/>
    <w:rsid w:val="0000595D"/>
    <w:rsid w:val="00005BE9"/>
    <w:rsid w:val="00005CA5"/>
    <w:rsid w:val="00005CB6"/>
    <w:rsid w:val="00005E5E"/>
    <w:rsid w:val="00006029"/>
    <w:rsid w:val="000062A0"/>
    <w:rsid w:val="000063E4"/>
    <w:rsid w:val="000065FE"/>
    <w:rsid w:val="000077D1"/>
    <w:rsid w:val="00007940"/>
    <w:rsid w:val="00007A6A"/>
    <w:rsid w:val="00010330"/>
    <w:rsid w:val="00010393"/>
    <w:rsid w:val="00010908"/>
    <w:rsid w:val="00010B68"/>
    <w:rsid w:val="00011CB8"/>
    <w:rsid w:val="00012EA5"/>
    <w:rsid w:val="00013051"/>
    <w:rsid w:val="0001341C"/>
    <w:rsid w:val="00013564"/>
    <w:rsid w:val="0001359E"/>
    <w:rsid w:val="00013892"/>
    <w:rsid w:val="00013B4A"/>
    <w:rsid w:val="0001438C"/>
    <w:rsid w:val="00015386"/>
    <w:rsid w:val="00015854"/>
    <w:rsid w:val="00015FAE"/>
    <w:rsid w:val="00016980"/>
    <w:rsid w:val="000178E4"/>
    <w:rsid w:val="00020371"/>
    <w:rsid w:val="0002067A"/>
    <w:rsid w:val="00020A2A"/>
    <w:rsid w:val="00021226"/>
    <w:rsid w:val="0002147D"/>
    <w:rsid w:val="000215DB"/>
    <w:rsid w:val="00021A4E"/>
    <w:rsid w:val="00021B75"/>
    <w:rsid w:val="00021BD0"/>
    <w:rsid w:val="00022A88"/>
    <w:rsid w:val="00022CCE"/>
    <w:rsid w:val="00023546"/>
    <w:rsid w:val="000238A4"/>
    <w:rsid w:val="00025755"/>
    <w:rsid w:val="00025D14"/>
    <w:rsid w:val="0002706C"/>
    <w:rsid w:val="00027255"/>
    <w:rsid w:val="00027BA6"/>
    <w:rsid w:val="00030364"/>
    <w:rsid w:val="00030D02"/>
    <w:rsid w:val="000310AD"/>
    <w:rsid w:val="00031657"/>
    <w:rsid w:val="00031F12"/>
    <w:rsid w:val="000327D9"/>
    <w:rsid w:val="00032B67"/>
    <w:rsid w:val="00032E03"/>
    <w:rsid w:val="00033976"/>
    <w:rsid w:val="00034112"/>
    <w:rsid w:val="00034117"/>
    <w:rsid w:val="00034542"/>
    <w:rsid w:val="00034737"/>
    <w:rsid w:val="00034F63"/>
    <w:rsid w:val="00034F7D"/>
    <w:rsid w:val="00035782"/>
    <w:rsid w:val="00035CFC"/>
    <w:rsid w:val="000361FC"/>
    <w:rsid w:val="00036CAB"/>
    <w:rsid w:val="00036DFB"/>
    <w:rsid w:val="00037365"/>
    <w:rsid w:val="00037376"/>
    <w:rsid w:val="00037ABB"/>
    <w:rsid w:val="00037C92"/>
    <w:rsid w:val="00037E16"/>
    <w:rsid w:val="00040081"/>
    <w:rsid w:val="00040A98"/>
    <w:rsid w:val="00040D4E"/>
    <w:rsid w:val="00040F71"/>
    <w:rsid w:val="00042251"/>
    <w:rsid w:val="00043159"/>
    <w:rsid w:val="00043407"/>
    <w:rsid w:val="0004347B"/>
    <w:rsid w:val="000435B4"/>
    <w:rsid w:val="00043933"/>
    <w:rsid w:val="000439BB"/>
    <w:rsid w:val="0004427A"/>
    <w:rsid w:val="0004461D"/>
    <w:rsid w:val="00044B60"/>
    <w:rsid w:val="0004528A"/>
    <w:rsid w:val="00045C2B"/>
    <w:rsid w:val="00045F04"/>
    <w:rsid w:val="00046277"/>
    <w:rsid w:val="00046355"/>
    <w:rsid w:val="000470B3"/>
    <w:rsid w:val="0004746D"/>
    <w:rsid w:val="00047535"/>
    <w:rsid w:val="00051587"/>
    <w:rsid w:val="00052957"/>
    <w:rsid w:val="000529A6"/>
    <w:rsid w:val="00052AC4"/>
    <w:rsid w:val="0005319A"/>
    <w:rsid w:val="000532FB"/>
    <w:rsid w:val="00053AA1"/>
    <w:rsid w:val="00053E04"/>
    <w:rsid w:val="00053F76"/>
    <w:rsid w:val="000541AA"/>
    <w:rsid w:val="00054345"/>
    <w:rsid w:val="000547B5"/>
    <w:rsid w:val="00054827"/>
    <w:rsid w:val="00054A25"/>
    <w:rsid w:val="00054E9E"/>
    <w:rsid w:val="00055403"/>
    <w:rsid w:val="00056E3C"/>
    <w:rsid w:val="000571A8"/>
    <w:rsid w:val="00057B20"/>
    <w:rsid w:val="0006028B"/>
    <w:rsid w:val="00061186"/>
    <w:rsid w:val="0006140B"/>
    <w:rsid w:val="000614F8"/>
    <w:rsid w:val="000617BD"/>
    <w:rsid w:val="0006190D"/>
    <w:rsid w:val="00061B16"/>
    <w:rsid w:val="000620E3"/>
    <w:rsid w:val="0006215D"/>
    <w:rsid w:val="00062C19"/>
    <w:rsid w:val="00062C84"/>
    <w:rsid w:val="000634DB"/>
    <w:rsid w:val="000635FC"/>
    <w:rsid w:val="000638E1"/>
    <w:rsid w:val="000645D7"/>
    <w:rsid w:val="0006468F"/>
    <w:rsid w:val="00064E07"/>
    <w:rsid w:val="00065838"/>
    <w:rsid w:val="00065917"/>
    <w:rsid w:val="00066296"/>
    <w:rsid w:val="00066A63"/>
    <w:rsid w:val="00066F7F"/>
    <w:rsid w:val="00067250"/>
    <w:rsid w:val="00070028"/>
    <w:rsid w:val="00070112"/>
    <w:rsid w:val="000702FC"/>
    <w:rsid w:val="000703B6"/>
    <w:rsid w:val="0007076B"/>
    <w:rsid w:val="0007081D"/>
    <w:rsid w:val="000709DA"/>
    <w:rsid w:val="00070B58"/>
    <w:rsid w:val="00070EAC"/>
    <w:rsid w:val="0007175D"/>
    <w:rsid w:val="00071F3F"/>
    <w:rsid w:val="00072780"/>
    <w:rsid w:val="00072FE2"/>
    <w:rsid w:val="000731A4"/>
    <w:rsid w:val="00073603"/>
    <w:rsid w:val="000736B0"/>
    <w:rsid w:val="0007418C"/>
    <w:rsid w:val="00075AC2"/>
    <w:rsid w:val="00075AD9"/>
    <w:rsid w:val="00075D3E"/>
    <w:rsid w:val="00076B61"/>
    <w:rsid w:val="00077508"/>
    <w:rsid w:val="00077517"/>
    <w:rsid w:val="00077AE3"/>
    <w:rsid w:val="00080132"/>
    <w:rsid w:val="000803B4"/>
    <w:rsid w:val="000806D6"/>
    <w:rsid w:val="000806E0"/>
    <w:rsid w:val="00081584"/>
    <w:rsid w:val="000821CE"/>
    <w:rsid w:val="00083046"/>
    <w:rsid w:val="00083068"/>
    <w:rsid w:val="00083231"/>
    <w:rsid w:val="000835D6"/>
    <w:rsid w:val="000837A3"/>
    <w:rsid w:val="00083DE1"/>
    <w:rsid w:val="000840A9"/>
    <w:rsid w:val="0008436B"/>
    <w:rsid w:val="00084791"/>
    <w:rsid w:val="000848BE"/>
    <w:rsid w:val="00084B00"/>
    <w:rsid w:val="00084CF0"/>
    <w:rsid w:val="00085105"/>
    <w:rsid w:val="000851A7"/>
    <w:rsid w:val="00085298"/>
    <w:rsid w:val="000863E3"/>
    <w:rsid w:val="000865AE"/>
    <w:rsid w:val="000865E1"/>
    <w:rsid w:val="000869B6"/>
    <w:rsid w:val="00086F97"/>
    <w:rsid w:val="00087B01"/>
    <w:rsid w:val="000907C1"/>
    <w:rsid w:val="000907F7"/>
    <w:rsid w:val="00090C5F"/>
    <w:rsid w:val="00090EFC"/>
    <w:rsid w:val="00092097"/>
    <w:rsid w:val="000926A9"/>
    <w:rsid w:val="00093CCF"/>
    <w:rsid w:val="00093E7E"/>
    <w:rsid w:val="00094182"/>
    <w:rsid w:val="00094323"/>
    <w:rsid w:val="00094746"/>
    <w:rsid w:val="00094C99"/>
    <w:rsid w:val="000965B3"/>
    <w:rsid w:val="0009699F"/>
    <w:rsid w:val="00096DBA"/>
    <w:rsid w:val="00096DF3"/>
    <w:rsid w:val="00096FF2"/>
    <w:rsid w:val="00097063"/>
    <w:rsid w:val="00097435"/>
    <w:rsid w:val="000979EF"/>
    <w:rsid w:val="00097B3E"/>
    <w:rsid w:val="00097C2B"/>
    <w:rsid w:val="000A0737"/>
    <w:rsid w:val="000A0FDC"/>
    <w:rsid w:val="000A2628"/>
    <w:rsid w:val="000A26D2"/>
    <w:rsid w:val="000A27D6"/>
    <w:rsid w:val="000A2CA1"/>
    <w:rsid w:val="000A2E3D"/>
    <w:rsid w:val="000A2EC5"/>
    <w:rsid w:val="000A3A7F"/>
    <w:rsid w:val="000A3BD2"/>
    <w:rsid w:val="000A3CEF"/>
    <w:rsid w:val="000A3F00"/>
    <w:rsid w:val="000A4C0E"/>
    <w:rsid w:val="000A4E15"/>
    <w:rsid w:val="000A5338"/>
    <w:rsid w:val="000A5649"/>
    <w:rsid w:val="000A5745"/>
    <w:rsid w:val="000A5780"/>
    <w:rsid w:val="000A5953"/>
    <w:rsid w:val="000A5BF6"/>
    <w:rsid w:val="000A6299"/>
    <w:rsid w:val="000A6561"/>
    <w:rsid w:val="000A66CC"/>
    <w:rsid w:val="000A682D"/>
    <w:rsid w:val="000A6ABC"/>
    <w:rsid w:val="000A7B9C"/>
    <w:rsid w:val="000B04E3"/>
    <w:rsid w:val="000B11E4"/>
    <w:rsid w:val="000B1781"/>
    <w:rsid w:val="000B1D47"/>
    <w:rsid w:val="000B2311"/>
    <w:rsid w:val="000B23AE"/>
    <w:rsid w:val="000B3AD3"/>
    <w:rsid w:val="000B4093"/>
    <w:rsid w:val="000B4FFB"/>
    <w:rsid w:val="000B5812"/>
    <w:rsid w:val="000B5BF3"/>
    <w:rsid w:val="000B5DF0"/>
    <w:rsid w:val="000B5FD8"/>
    <w:rsid w:val="000B69AF"/>
    <w:rsid w:val="000B6B48"/>
    <w:rsid w:val="000B7117"/>
    <w:rsid w:val="000B7357"/>
    <w:rsid w:val="000B768D"/>
    <w:rsid w:val="000B7A2A"/>
    <w:rsid w:val="000B7C84"/>
    <w:rsid w:val="000B7FB7"/>
    <w:rsid w:val="000C02A5"/>
    <w:rsid w:val="000C05C2"/>
    <w:rsid w:val="000C17D2"/>
    <w:rsid w:val="000C186C"/>
    <w:rsid w:val="000C189C"/>
    <w:rsid w:val="000C1BEB"/>
    <w:rsid w:val="000C24CC"/>
    <w:rsid w:val="000C2E3C"/>
    <w:rsid w:val="000C3119"/>
    <w:rsid w:val="000C3DEB"/>
    <w:rsid w:val="000C5F7B"/>
    <w:rsid w:val="000C620B"/>
    <w:rsid w:val="000C63E4"/>
    <w:rsid w:val="000C6468"/>
    <w:rsid w:val="000C66AE"/>
    <w:rsid w:val="000C6EFB"/>
    <w:rsid w:val="000C71D8"/>
    <w:rsid w:val="000C7CF6"/>
    <w:rsid w:val="000D013B"/>
    <w:rsid w:val="000D06B7"/>
    <w:rsid w:val="000D07A1"/>
    <w:rsid w:val="000D1887"/>
    <w:rsid w:val="000D2FE7"/>
    <w:rsid w:val="000D3292"/>
    <w:rsid w:val="000D393F"/>
    <w:rsid w:val="000D3E67"/>
    <w:rsid w:val="000D41A8"/>
    <w:rsid w:val="000D428A"/>
    <w:rsid w:val="000D4925"/>
    <w:rsid w:val="000D4BD5"/>
    <w:rsid w:val="000D5169"/>
    <w:rsid w:val="000D5AE1"/>
    <w:rsid w:val="000D5D88"/>
    <w:rsid w:val="000D5D9E"/>
    <w:rsid w:val="000D6175"/>
    <w:rsid w:val="000D6280"/>
    <w:rsid w:val="000D6789"/>
    <w:rsid w:val="000D6DFF"/>
    <w:rsid w:val="000D6FFB"/>
    <w:rsid w:val="000D7422"/>
    <w:rsid w:val="000D74AE"/>
    <w:rsid w:val="000D7BD6"/>
    <w:rsid w:val="000E0506"/>
    <w:rsid w:val="000E0726"/>
    <w:rsid w:val="000E0AA4"/>
    <w:rsid w:val="000E0C15"/>
    <w:rsid w:val="000E1126"/>
    <w:rsid w:val="000E1289"/>
    <w:rsid w:val="000E187E"/>
    <w:rsid w:val="000E3038"/>
    <w:rsid w:val="000E3455"/>
    <w:rsid w:val="000E3E12"/>
    <w:rsid w:val="000E4147"/>
    <w:rsid w:val="000E42EC"/>
    <w:rsid w:val="000E46F6"/>
    <w:rsid w:val="000E4B00"/>
    <w:rsid w:val="000E4EBE"/>
    <w:rsid w:val="000E55CD"/>
    <w:rsid w:val="000E5FAD"/>
    <w:rsid w:val="000E6350"/>
    <w:rsid w:val="000E7C77"/>
    <w:rsid w:val="000F0E6C"/>
    <w:rsid w:val="000F0F32"/>
    <w:rsid w:val="000F10A8"/>
    <w:rsid w:val="000F172A"/>
    <w:rsid w:val="000F1991"/>
    <w:rsid w:val="000F1D15"/>
    <w:rsid w:val="000F1DD6"/>
    <w:rsid w:val="000F273B"/>
    <w:rsid w:val="000F2931"/>
    <w:rsid w:val="000F56FA"/>
    <w:rsid w:val="000F6390"/>
    <w:rsid w:val="000F64A8"/>
    <w:rsid w:val="000F678A"/>
    <w:rsid w:val="000F67A8"/>
    <w:rsid w:val="000F69C7"/>
    <w:rsid w:val="000F6B38"/>
    <w:rsid w:val="00102758"/>
    <w:rsid w:val="00102839"/>
    <w:rsid w:val="00102CC2"/>
    <w:rsid w:val="001031D1"/>
    <w:rsid w:val="001033ED"/>
    <w:rsid w:val="00103A55"/>
    <w:rsid w:val="00104498"/>
    <w:rsid w:val="00104C7E"/>
    <w:rsid w:val="001076ED"/>
    <w:rsid w:val="00107A76"/>
    <w:rsid w:val="00107BE9"/>
    <w:rsid w:val="00107CFC"/>
    <w:rsid w:val="00107F6A"/>
    <w:rsid w:val="0011043D"/>
    <w:rsid w:val="00110604"/>
    <w:rsid w:val="0011067F"/>
    <w:rsid w:val="001106BF"/>
    <w:rsid w:val="0011096C"/>
    <w:rsid w:val="00110A20"/>
    <w:rsid w:val="00110B87"/>
    <w:rsid w:val="0011119D"/>
    <w:rsid w:val="001115B7"/>
    <w:rsid w:val="00111DC5"/>
    <w:rsid w:val="00112543"/>
    <w:rsid w:val="001127F2"/>
    <w:rsid w:val="00112E47"/>
    <w:rsid w:val="00113308"/>
    <w:rsid w:val="001138A6"/>
    <w:rsid w:val="00113AF7"/>
    <w:rsid w:val="00113EE0"/>
    <w:rsid w:val="001140D4"/>
    <w:rsid w:val="001147AF"/>
    <w:rsid w:val="00114982"/>
    <w:rsid w:val="00114B97"/>
    <w:rsid w:val="00114C27"/>
    <w:rsid w:val="001152E6"/>
    <w:rsid w:val="0011545F"/>
    <w:rsid w:val="00115FB8"/>
    <w:rsid w:val="0011676F"/>
    <w:rsid w:val="00117254"/>
    <w:rsid w:val="0011774C"/>
    <w:rsid w:val="00117E4D"/>
    <w:rsid w:val="00117E87"/>
    <w:rsid w:val="001200A8"/>
    <w:rsid w:val="0012074D"/>
    <w:rsid w:val="00120AE7"/>
    <w:rsid w:val="00120B47"/>
    <w:rsid w:val="00120BDB"/>
    <w:rsid w:val="00120F4B"/>
    <w:rsid w:val="0012178A"/>
    <w:rsid w:val="00121F7E"/>
    <w:rsid w:val="00122486"/>
    <w:rsid w:val="001228D7"/>
    <w:rsid w:val="00122A01"/>
    <w:rsid w:val="00124336"/>
    <w:rsid w:val="00124908"/>
    <w:rsid w:val="00124FBE"/>
    <w:rsid w:val="001260B8"/>
    <w:rsid w:val="0012614E"/>
    <w:rsid w:val="00126A84"/>
    <w:rsid w:val="001270A6"/>
    <w:rsid w:val="001271CE"/>
    <w:rsid w:val="00127298"/>
    <w:rsid w:val="00127997"/>
    <w:rsid w:val="00127CEC"/>
    <w:rsid w:val="00127E39"/>
    <w:rsid w:val="00127E94"/>
    <w:rsid w:val="0013026B"/>
    <w:rsid w:val="0013106D"/>
    <w:rsid w:val="001320F1"/>
    <w:rsid w:val="001326BE"/>
    <w:rsid w:val="00132E36"/>
    <w:rsid w:val="001330CD"/>
    <w:rsid w:val="00133123"/>
    <w:rsid w:val="0013329C"/>
    <w:rsid w:val="0013413A"/>
    <w:rsid w:val="00134193"/>
    <w:rsid w:val="00134645"/>
    <w:rsid w:val="001346F6"/>
    <w:rsid w:val="00135AF6"/>
    <w:rsid w:val="00136093"/>
    <w:rsid w:val="00136EF1"/>
    <w:rsid w:val="00136EF3"/>
    <w:rsid w:val="0013732E"/>
    <w:rsid w:val="0013775A"/>
    <w:rsid w:val="00137969"/>
    <w:rsid w:val="0013797D"/>
    <w:rsid w:val="00137B6F"/>
    <w:rsid w:val="001401C1"/>
    <w:rsid w:val="00140505"/>
    <w:rsid w:val="001405C5"/>
    <w:rsid w:val="00140B33"/>
    <w:rsid w:val="001415DD"/>
    <w:rsid w:val="00141F3B"/>
    <w:rsid w:val="001424B4"/>
    <w:rsid w:val="00142621"/>
    <w:rsid w:val="00142CE3"/>
    <w:rsid w:val="00143BA9"/>
    <w:rsid w:val="001447EE"/>
    <w:rsid w:val="0014491F"/>
    <w:rsid w:val="001459EE"/>
    <w:rsid w:val="0014627E"/>
    <w:rsid w:val="001470B8"/>
    <w:rsid w:val="0015034A"/>
    <w:rsid w:val="00150C69"/>
    <w:rsid w:val="00151578"/>
    <w:rsid w:val="00151A50"/>
    <w:rsid w:val="00151B39"/>
    <w:rsid w:val="00151BE6"/>
    <w:rsid w:val="00151DC2"/>
    <w:rsid w:val="00152C19"/>
    <w:rsid w:val="00153815"/>
    <w:rsid w:val="00153EA5"/>
    <w:rsid w:val="00154031"/>
    <w:rsid w:val="00154950"/>
    <w:rsid w:val="00155707"/>
    <w:rsid w:val="00155E7D"/>
    <w:rsid w:val="0015673D"/>
    <w:rsid w:val="001567F5"/>
    <w:rsid w:val="0015736A"/>
    <w:rsid w:val="001575ED"/>
    <w:rsid w:val="001578CD"/>
    <w:rsid w:val="0016009A"/>
    <w:rsid w:val="00160622"/>
    <w:rsid w:val="00160E15"/>
    <w:rsid w:val="00161A8A"/>
    <w:rsid w:val="00161B96"/>
    <w:rsid w:val="00161BBF"/>
    <w:rsid w:val="00161E6B"/>
    <w:rsid w:val="00161F8B"/>
    <w:rsid w:val="00162122"/>
    <w:rsid w:val="001624F8"/>
    <w:rsid w:val="001625FA"/>
    <w:rsid w:val="00162BAE"/>
    <w:rsid w:val="001635A5"/>
    <w:rsid w:val="001636E3"/>
    <w:rsid w:val="001637EC"/>
    <w:rsid w:val="00164140"/>
    <w:rsid w:val="001647E0"/>
    <w:rsid w:val="0016482F"/>
    <w:rsid w:val="00164F12"/>
    <w:rsid w:val="00165E9D"/>
    <w:rsid w:val="00166463"/>
    <w:rsid w:val="0016712F"/>
    <w:rsid w:val="001672CD"/>
    <w:rsid w:val="00167F1C"/>
    <w:rsid w:val="001709FC"/>
    <w:rsid w:val="00171BCF"/>
    <w:rsid w:val="00172171"/>
    <w:rsid w:val="0017218C"/>
    <w:rsid w:val="00172341"/>
    <w:rsid w:val="001723B2"/>
    <w:rsid w:val="00172629"/>
    <w:rsid w:val="00172E77"/>
    <w:rsid w:val="00173E4A"/>
    <w:rsid w:val="00174534"/>
    <w:rsid w:val="0017514C"/>
    <w:rsid w:val="001755CD"/>
    <w:rsid w:val="00176077"/>
    <w:rsid w:val="0017613B"/>
    <w:rsid w:val="00176EEF"/>
    <w:rsid w:val="001772EB"/>
    <w:rsid w:val="00177A64"/>
    <w:rsid w:val="00177B67"/>
    <w:rsid w:val="001803F0"/>
    <w:rsid w:val="00180E98"/>
    <w:rsid w:val="00180FFC"/>
    <w:rsid w:val="001814A9"/>
    <w:rsid w:val="00181982"/>
    <w:rsid w:val="00181D7F"/>
    <w:rsid w:val="00181F09"/>
    <w:rsid w:val="00182DA9"/>
    <w:rsid w:val="00182E4B"/>
    <w:rsid w:val="00183E7C"/>
    <w:rsid w:val="001840C3"/>
    <w:rsid w:val="001844C3"/>
    <w:rsid w:val="00184AFE"/>
    <w:rsid w:val="00184F76"/>
    <w:rsid w:val="001852AF"/>
    <w:rsid w:val="00185840"/>
    <w:rsid w:val="00185936"/>
    <w:rsid w:val="00185D4D"/>
    <w:rsid w:val="001860FD"/>
    <w:rsid w:val="00186420"/>
    <w:rsid w:val="00186813"/>
    <w:rsid w:val="00186937"/>
    <w:rsid w:val="00186B69"/>
    <w:rsid w:val="00186EE1"/>
    <w:rsid w:val="00187056"/>
    <w:rsid w:val="001872B3"/>
    <w:rsid w:val="0018752C"/>
    <w:rsid w:val="00187814"/>
    <w:rsid w:val="001912F1"/>
    <w:rsid w:val="00191F8E"/>
    <w:rsid w:val="00192244"/>
    <w:rsid w:val="00192787"/>
    <w:rsid w:val="00192887"/>
    <w:rsid w:val="00192D37"/>
    <w:rsid w:val="00192FD8"/>
    <w:rsid w:val="001930E3"/>
    <w:rsid w:val="00193B26"/>
    <w:rsid w:val="00193F8C"/>
    <w:rsid w:val="00194A1C"/>
    <w:rsid w:val="00194F4F"/>
    <w:rsid w:val="00194FD3"/>
    <w:rsid w:val="001952BF"/>
    <w:rsid w:val="00195B58"/>
    <w:rsid w:val="0019617F"/>
    <w:rsid w:val="00196327"/>
    <w:rsid w:val="00196CBF"/>
    <w:rsid w:val="00197162"/>
    <w:rsid w:val="001975D0"/>
    <w:rsid w:val="001A00D7"/>
    <w:rsid w:val="001A01C1"/>
    <w:rsid w:val="001A0BB1"/>
    <w:rsid w:val="001A0BE2"/>
    <w:rsid w:val="001A123B"/>
    <w:rsid w:val="001A15C2"/>
    <w:rsid w:val="001A176B"/>
    <w:rsid w:val="001A1B92"/>
    <w:rsid w:val="001A2B0F"/>
    <w:rsid w:val="001A2CBB"/>
    <w:rsid w:val="001A2EE0"/>
    <w:rsid w:val="001A3011"/>
    <w:rsid w:val="001A3687"/>
    <w:rsid w:val="001A39F1"/>
    <w:rsid w:val="001A4065"/>
    <w:rsid w:val="001A579E"/>
    <w:rsid w:val="001A59B8"/>
    <w:rsid w:val="001A5F52"/>
    <w:rsid w:val="001A6E7E"/>
    <w:rsid w:val="001A740E"/>
    <w:rsid w:val="001A74CA"/>
    <w:rsid w:val="001A77C9"/>
    <w:rsid w:val="001A7EAB"/>
    <w:rsid w:val="001B01A8"/>
    <w:rsid w:val="001B0359"/>
    <w:rsid w:val="001B12C8"/>
    <w:rsid w:val="001B1AF1"/>
    <w:rsid w:val="001B1D0A"/>
    <w:rsid w:val="001B24C2"/>
    <w:rsid w:val="001B2672"/>
    <w:rsid w:val="001B2A94"/>
    <w:rsid w:val="001B2AB2"/>
    <w:rsid w:val="001B3265"/>
    <w:rsid w:val="001B3F98"/>
    <w:rsid w:val="001B40EF"/>
    <w:rsid w:val="001B4DA9"/>
    <w:rsid w:val="001B4F2F"/>
    <w:rsid w:val="001B514D"/>
    <w:rsid w:val="001B56C9"/>
    <w:rsid w:val="001B58A3"/>
    <w:rsid w:val="001B6C3E"/>
    <w:rsid w:val="001B6C4B"/>
    <w:rsid w:val="001B71F8"/>
    <w:rsid w:val="001B75B3"/>
    <w:rsid w:val="001B76D0"/>
    <w:rsid w:val="001C065E"/>
    <w:rsid w:val="001C0C1F"/>
    <w:rsid w:val="001C0C8A"/>
    <w:rsid w:val="001C0D42"/>
    <w:rsid w:val="001C1334"/>
    <w:rsid w:val="001C1542"/>
    <w:rsid w:val="001C171C"/>
    <w:rsid w:val="001C1C23"/>
    <w:rsid w:val="001C23C7"/>
    <w:rsid w:val="001C2547"/>
    <w:rsid w:val="001C273D"/>
    <w:rsid w:val="001C2C32"/>
    <w:rsid w:val="001C2DD1"/>
    <w:rsid w:val="001C2EB1"/>
    <w:rsid w:val="001C3480"/>
    <w:rsid w:val="001C3546"/>
    <w:rsid w:val="001C3910"/>
    <w:rsid w:val="001C3955"/>
    <w:rsid w:val="001C422C"/>
    <w:rsid w:val="001C4EDB"/>
    <w:rsid w:val="001C566A"/>
    <w:rsid w:val="001C670A"/>
    <w:rsid w:val="001C6BF0"/>
    <w:rsid w:val="001C6D89"/>
    <w:rsid w:val="001C744A"/>
    <w:rsid w:val="001D0A8A"/>
    <w:rsid w:val="001D0FA4"/>
    <w:rsid w:val="001D124A"/>
    <w:rsid w:val="001D1CAE"/>
    <w:rsid w:val="001D2888"/>
    <w:rsid w:val="001D3112"/>
    <w:rsid w:val="001D3274"/>
    <w:rsid w:val="001D3CC9"/>
    <w:rsid w:val="001D4231"/>
    <w:rsid w:val="001D457A"/>
    <w:rsid w:val="001D476C"/>
    <w:rsid w:val="001D552E"/>
    <w:rsid w:val="001D55F9"/>
    <w:rsid w:val="001D58EE"/>
    <w:rsid w:val="001D6216"/>
    <w:rsid w:val="001D644B"/>
    <w:rsid w:val="001D668A"/>
    <w:rsid w:val="001D688A"/>
    <w:rsid w:val="001D7A41"/>
    <w:rsid w:val="001D7BDA"/>
    <w:rsid w:val="001E0A12"/>
    <w:rsid w:val="001E0A14"/>
    <w:rsid w:val="001E1DA4"/>
    <w:rsid w:val="001E2188"/>
    <w:rsid w:val="001E26D3"/>
    <w:rsid w:val="001E38D0"/>
    <w:rsid w:val="001E4C66"/>
    <w:rsid w:val="001E4FC6"/>
    <w:rsid w:val="001E5817"/>
    <w:rsid w:val="001E6750"/>
    <w:rsid w:val="001E7396"/>
    <w:rsid w:val="001E7540"/>
    <w:rsid w:val="001E7C73"/>
    <w:rsid w:val="001F0357"/>
    <w:rsid w:val="001F03D0"/>
    <w:rsid w:val="001F078F"/>
    <w:rsid w:val="001F0983"/>
    <w:rsid w:val="001F1357"/>
    <w:rsid w:val="001F16FF"/>
    <w:rsid w:val="001F1AEE"/>
    <w:rsid w:val="001F22C0"/>
    <w:rsid w:val="001F281D"/>
    <w:rsid w:val="001F287A"/>
    <w:rsid w:val="001F2A5B"/>
    <w:rsid w:val="001F2A6F"/>
    <w:rsid w:val="001F2BA2"/>
    <w:rsid w:val="001F359F"/>
    <w:rsid w:val="001F3B7A"/>
    <w:rsid w:val="001F3D57"/>
    <w:rsid w:val="001F413F"/>
    <w:rsid w:val="001F53BA"/>
    <w:rsid w:val="001F5567"/>
    <w:rsid w:val="001F58E9"/>
    <w:rsid w:val="001F6589"/>
    <w:rsid w:val="001F6BB1"/>
    <w:rsid w:val="001F6C09"/>
    <w:rsid w:val="001F70C0"/>
    <w:rsid w:val="001F7298"/>
    <w:rsid w:val="001F7F89"/>
    <w:rsid w:val="002002BA"/>
    <w:rsid w:val="002009C0"/>
    <w:rsid w:val="00200C03"/>
    <w:rsid w:val="002010C2"/>
    <w:rsid w:val="0020205A"/>
    <w:rsid w:val="00202B6B"/>
    <w:rsid w:val="00202E08"/>
    <w:rsid w:val="00202F63"/>
    <w:rsid w:val="00203708"/>
    <w:rsid w:val="00203C20"/>
    <w:rsid w:val="00203EFC"/>
    <w:rsid w:val="00203FCD"/>
    <w:rsid w:val="00204492"/>
    <w:rsid w:val="00204496"/>
    <w:rsid w:val="00204E91"/>
    <w:rsid w:val="002050D8"/>
    <w:rsid w:val="00205209"/>
    <w:rsid w:val="00205583"/>
    <w:rsid w:val="00205B3E"/>
    <w:rsid w:val="00205EC4"/>
    <w:rsid w:val="00206BAD"/>
    <w:rsid w:val="0020729F"/>
    <w:rsid w:val="00207DD6"/>
    <w:rsid w:val="00207E02"/>
    <w:rsid w:val="00210064"/>
    <w:rsid w:val="0021006C"/>
    <w:rsid w:val="00210223"/>
    <w:rsid w:val="002109DD"/>
    <w:rsid w:val="00210B9A"/>
    <w:rsid w:val="00210BEE"/>
    <w:rsid w:val="00210FFD"/>
    <w:rsid w:val="0021127D"/>
    <w:rsid w:val="00211435"/>
    <w:rsid w:val="00211496"/>
    <w:rsid w:val="00211C2A"/>
    <w:rsid w:val="00211E15"/>
    <w:rsid w:val="00212991"/>
    <w:rsid w:val="00212EB6"/>
    <w:rsid w:val="002130DE"/>
    <w:rsid w:val="00213408"/>
    <w:rsid w:val="002137E0"/>
    <w:rsid w:val="00213914"/>
    <w:rsid w:val="00213923"/>
    <w:rsid w:val="00213A27"/>
    <w:rsid w:val="00215D8F"/>
    <w:rsid w:val="00215ECC"/>
    <w:rsid w:val="0021603A"/>
    <w:rsid w:val="00216939"/>
    <w:rsid w:val="0021776B"/>
    <w:rsid w:val="0021776C"/>
    <w:rsid w:val="00220B96"/>
    <w:rsid w:val="002215E5"/>
    <w:rsid w:val="002216CC"/>
    <w:rsid w:val="002217FD"/>
    <w:rsid w:val="00221A0E"/>
    <w:rsid w:val="00221A6C"/>
    <w:rsid w:val="00221B8D"/>
    <w:rsid w:val="00221DF3"/>
    <w:rsid w:val="00222AE5"/>
    <w:rsid w:val="00222EC0"/>
    <w:rsid w:val="00222EDB"/>
    <w:rsid w:val="0022338F"/>
    <w:rsid w:val="00224181"/>
    <w:rsid w:val="00224F0E"/>
    <w:rsid w:val="0022510A"/>
    <w:rsid w:val="002258D9"/>
    <w:rsid w:val="002269D4"/>
    <w:rsid w:val="00226E13"/>
    <w:rsid w:val="00227064"/>
    <w:rsid w:val="0022706B"/>
    <w:rsid w:val="00227293"/>
    <w:rsid w:val="00227699"/>
    <w:rsid w:val="0022780D"/>
    <w:rsid w:val="002278B2"/>
    <w:rsid w:val="0023057A"/>
    <w:rsid w:val="00230772"/>
    <w:rsid w:val="00230DC5"/>
    <w:rsid w:val="00231B71"/>
    <w:rsid w:val="00231C54"/>
    <w:rsid w:val="00232205"/>
    <w:rsid w:val="0023238B"/>
    <w:rsid w:val="00232632"/>
    <w:rsid w:val="00232EDD"/>
    <w:rsid w:val="002330BD"/>
    <w:rsid w:val="00234818"/>
    <w:rsid w:val="00234F35"/>
    <w:rsid w:val="00235258"/>
    <w:rsid w:val="002354FD"/>
    <w:rsid w:val="0023583D"/>
    <w:rsid w:val="00235B63"/>
    <w:rsid w:val="00235D72"/>
    <w:rsid w:val="00236548"/>
    <w:rsid w:val="00236C5F"/>
    <w:rsid w:val="00236F03"/>
    <w:rsid w:val="002370AE"/>
    <w:rsid w:val="0023779D"/>
    <w:rsid w:val="00237CA5"/>
    <w:rsid w:val="00240396"/>
    <w:rsid w:val="002407FA"/>
    <w:rsid w:val="00241516"/>
    <w:rsid w:val="002419AB"/>
    <w:rsid w:val="00241C77"/>
    <w:rsid w:val="00241F13"/>
    <w:rsid w:val="0024254A"/>
    <w:rsid w:val="00243CA4"/>
    <w:rsid w:val="0024496F"/>
    <w:rsid w:val="00244B21"/>
    <w:rsid w:val="00244BA0"/>
    <w:rsid w:val="0024580A"/>
    <w:rsid w:val="00245B83"/>
    <w:rsid w:val="00246200"/>
    <w:rsid w:val="002464A3"/>
    <w:rsid w:val="002470CC"/>
    <w:rsid w:val="00247172"/>
    <w:rsid w:val="00247193"/>
    <w:rsid w:val="00247617"/>
    <w:rsid w:val="00247651"/>
    <w:rsid w:val="0024776B"/>
    <w:rsid w:val="00247D00"/>
    <w:rsid w:val="00247E2B"/>
    <w:rsid w:val="00247F75"/>
    <w:rsid w:val="00250230"/>
    <w:rsid w:val="0025028E"/>
    <w:rsid w:val="00250873"/>
    <w:rsid w:val="00250F9B"/>
    <w:rsid w:val="0025122B"/>
    <w:rsid w:val="00251240"/>
    <w:rsid w:val="002514A8"/>
    <w:rsid w:val="002514D0"/>
    <w:rsid w:val="00251709"/>
    <w:rsid w:val="00251766"/>
    <w:rsid w:val="002520FB"/>
    <w:rsid w:val="0025225E"/>
    <w:rsid w:val="00252815"/>
    <w:rsid w:val="00252B50"/>
    <w:rsid w:val="00252C17"/>
    <w:rsid w:val="00252FAD"/>
    <w:rsid w:val="00253530"/>
    <w:rsid w:val="00253569"/>
    <w:rsid w:val="00253E05"/>
    <w:rsid w:val="00254199"/>
    <w:rsid w:val="0025458B"/>
    <w:rsid w:val="00254BFF"/>
    <w:rsid w:val="002552C7"/>
    <w:rsid w:val="0025536A"/>
    <w:rsid w:val="00255592"/>
    <w:rsid w:val="002556A1"/>
    <w:rsid w:val="002558FB"/>
    <w:rsid w:val="00255EFC"/>
    <w:rsid w:val="002564CB"/>
    <w:rsid w:val="00256897"/>
    <w:rsid w:val="00256BE6"/>
    <w:rsid w:val="00256D3D"/>
    <w:rsid w:val="00257403"/>
    <w:rsid w:val="002579AA"/>
    <w:rsid w:val="00257A8E"/>
    <w:rsid w:val="002601A4"/>
    <w:rsid w:val="00260D30"/>
    <w:rsid w:val="00260EA8"/>
    <w:rsid w:val="00261B2A"/>
    <w:rsid w:val="00261C72"/>
    <w:rsid w:val="00263465"/>
    <w:rsid w:val="00263532"/>
    <w:rsid w:val="002636CE"/>
    <w:rsid w:val="00263DF5"/>
    <w:rsid w:val="00264170"/>
    <w:rsid w:val="002649F3"/>
    <w:rsid w:val="00264AB6"/>
    <w:rsid w:val="0026540E"/>
    <w:rsid w:val="0026574A"/>
    <w:rsid w:val="00265887"/>
    <w:rsid w:val="00265ADC"/>
    <w:rsid w:val="00265E40"/>
    <w:rsid w:val="00266A91"/>
    <w:rsid w:val="00266AB8"/>
    <w:rsid w:val="002675BC"/>
    <w:rsid w:val="0027063D"/>
    <w:rsid w:val="002706E9"/>
    <w:rsid w:val="00270B45"/>
    <w:rsid w:val="00270EAE"/>
    <w:rsid w:val="00270F40"/>
    <w:rsid w:val="002718C5"/>
    <w:rsid w:val="00271C81"/>
    <w:rsid w:val="00271CA9"/>
    <w:rsid w:val="00272292"/>
    <w:rsid w:val="0027232D"/>
    <w:rsid w:val="002723CA"/>
    <w:rsid w:val="00273D15"/>
    <w:rsid w:val="00273FB4"/>
    <w:rsid w:val="00274238"/>
    <w:rsid w:val="0027461E"/>
    <w:rsid w:val="0027577B"/>
    <w:rsid w:val="00275CE3"/>
    <w:rsid w:val="00275D35"/>
    <w:rsid w:val="002760C7"/>
    <w:rsid w:val="002760DE"/>
    <w:rsid w:val="00276540"/>
    <w:rsid w:val="00277487"/>
    <w:rsid w:val="00277C45"/>
    <w:rsid w:val="0028010D"/>
    <w:rsid w:val="00280407"/>
    <w:rsid w:val="00280BF9"/>
    <w:rsid w:val="00280C2D"/>
    <w:rsid w:val="00280CDF"/>
    <w:rsid w:val="00280DBD"/>
    <w:rsid w:val="00280F79"/>
    <w:rsid w:val="002811E7"/>
    <w:rsid w:val="00281208"/>
    <w:rsid w:val="00281345"/>
    <w:rsid w:val="00282036"/>
    <w:rsid w:val="00282650"/>
    <w:rsid w:val="00282807"/>
    <w:rsid w:val="00282AC3"/>
    <w:rsid w:val="00282AF6"/>
    <w:rsid w:val="002839D6"/>
    <w:rsid w:val="00283A81"/>
    <w:rsid w:val="00283D71"/>
    <w:rsid w:val="002844D2"/>
    <w:rsid w:val="002846DD"/>
    <w:rsid w:val="0028538D"/>
    <w:rsid w:val="00285C65"/>
    <w:rsid w:val="00286F9C"/>
    <w:rsid w:val="00287776"/>
    <w:rsid w:val="002879BC"/>
    <w:rsid w:val="002904FF"/>
    <w:rsid w:val="002908B2"/>
    <w:rsid w:val="00290C79"/>
    <w:rsid w:val="00290EE9"/>
    <w:rsid w:val="00291400"/>
    <w:rsid w:val="002917A3"/>
    <w:rsid w:val="00291B13"/>
    <w:rsid w:val="00292454"/>
    <w:rsid w:val="0029271B"/>
    <w:rsid w:val="00292767"/>
    <w:rsid w:val="00293ABF"/>
    <w:rsid w:val="00294759"/>
    <w:rsid w:val="00294860"/>
    <w:rsid w:val="002948FC"/>
    <w:rsid w:val="00294A84"/>
    <w:rsid w:val="00294D7E"/>
    <w:rsid w:val="002950CE"/>
    <w:rsid w:val="00295177"/>
    <w:rsid w:val="00295366"/>
    <w:rsid w:val="0029624D"/>
    <w:rsid w:val="00296679"/>
    <w:rsid w:val="0029776C"/>
    <w:rsid w:val="00297E8B"/>
    <w:rsid w:val="002A0B8B"/>
    <w:rsid w:val="002A0BD5"/>
    <w:rsid w:val="002A0EC8"/>
    <w:rsid w:val="002A0FA7"/>
    <w:rsid w:val="002A1196"/>
    <w:rsid w:val="002A1AEC"/>
    <w:rsid w:val="002A1F84"/>
    <w:rsid w:val="002A21A5"/>
    <w:rsid w:val="002A21D3"/>
    <w:rsid w:val="002A222C"/>
    <w:rsid w:val="002A24AC"/>
    <w:rsid w:val="002A279C"/>
    <w:rsid w:val="002A27FF"/>
    <w:rsid w:val="002A3729"/>
    <w:rsid w:val="002A3DBA"/>
    <w:rsid w:val="002A4354"/>
    <w:rsid w:val="002A44E0"/>
    <w:rsid w:val="002A534E"/>
    <w:rsid w:val="002A5E50"/>
    <w:rsid w:val="002A6E03"/>
    <w:rsid w:val="002A75FA"/>
    <w:rsid w:val="002A796A"/>
    <w:rsid w:val="002A7BCE"/>
    <w:rsid w:val="002B0509"/>
    <w:rsid w:val="002B0704"/>
    <w:rsid w:val="002B0C47"/>
    <w:rsid w:val="002B0C4F"/>
    <w:rsid w:val="002B1094"/>
    <w:rsid w:val="002B134D"/>
    <w:rsid w:val="002B1534"/>
    <w:rsid w:val="002B166D"/>
    <w:rsid w:val="002B1B1A"/>
    <w:rsid w:val="002B204C"/>
    <w:rsid w:val="002B2E7A"/>
    <w:rsid w:val="002B3977"/>
    <w:rsid w:val="002B3C4A"/>
    <w:rsid w:val="002B3E0B"/>
    <w:rsid w:val="002B3E8E"/>
    <w:rsid w:val="002B413A"/>
    <w:rsid w:val="002B434F"/>
    <w:rsid w:val="002B4719"/>
    <w:rsid w:val="002B49B9"/>
    <w:rsid w:val="002B4FB4"/>
    <w:rsid w:val="002B54A9"/>
    <w:rsid w:val="002B5ABB"/>
    <w:rsid w:val="002B5BB6"/>
    <w:rsid w:val="002B67B8"/>
    <w:rsid w:val="002B695E"/>
    <w:rsid w:val="002B69C0"/>
    <w:rsid w:val="002B7574"/>
    <w:rsid w:val="002C02C6"/>
    <w:rsid w:val="002C05FB"/>
    <w:rsid w:val="002C0934"/>
    <w:rsid w:val="002C0A32"/>
    <w:rsid w:val="002C18DA"/>
    <w:rsid w:val="002C1A56"/>
    <w:rsid w:val="002C1B56"/>
    <w:rsid w:val="002C23B1"/>
    <w:rsid w:val="002C2574"/>
    <w:rsid w:val="002C2581"/>
    <w:rsid w:val="002C2DD7"/>
    <w:rsid w:val="002C3B9F"/>
    <w:rsid w:val="002C3BB5"/>
    <w:rsid w:val="002C3CB6"/>
    <w:rsid w:val="002C43A8"/>
    <w:rsid w:val="002C4D7E"/>
    <w:rsid w:val="002C4DD0"/>
    <w:rsid w:val="002C4FFD"/>
    <w:rsid w:val="002C522F"/>
    <w:rsid w:val="002C5630"/>
    <w:rsid w:val="002C56DA"/>
    <w:rsid w:val="002C5E2C"/>
    <w:rsid w:val="002C69FE"/>
    <w:rsid w:val="002C6BC8"/>
    <w:rsid w:val="002C6DD6"/>
    <w:rsid w:val="002C7A5E"/>
    <w:rsid w:val="002D0B54"/>
    <w:rsid w:val="002D12FC"/>
    <w:rsid w:val="002D1DAA"/>
    <w:rsid w:val="002D1F42"/>
    <w:rsid w:val="002D2134"/>
    <w:rsid w:val="002D213C"/>
    <w:rsid w:val="002D25A1"/>
    <w:rsid w:val="002D26E9"/>
    <w:rsid w:val="002D3059"/>
    <w:rsid w:val="002D3351"/>
    <w:rsid w:val="002D353E"/>
    <w:rsid w:val="002D395B"/>
    <w:rsid w:val="002D3DAE"/>
    <w:rsid w:val="002D431B"/>
    <w:rsid w:val="002D4947"/>
    <w:rsid w:val="002D4C61"/>
    <w:rsid w:val="002D52E5"/>
    <w:rsid w:val="002D5A81"/>
    <w:rsid w:val="002D6BB7"/>
    <w:rsid w:val="002D6ECB"/>
    <w:rsid w:val="002D6F65"/>
    <w:rsid w:val="002D717B"/>
    <w:rsid w:val="002D76D7"/>
    <w:rsid w:val="002D7864"/>
    <w:rsid w:val="002D7B1B"/>
    <w:rsid w:val="002D7B8B"/>
    <w:rsid w:val="002D7DED"/>
    <w:rsid w:val="002E0234"/>
    <w:rsid w:val="002E07FD"/>
    <w:rsid w:val="002E09FF"/>
    <w:rsid w:val="002E0B02"/>
    <w:rsid w:val="002E0C29"/>
    <w:rsid w:val="002E0C4B"/>
    <w:rsid w:val="002E109C"/>
    <w:rsid w:val="002E13A5"/>
    <w:rsid w:val="002E17B5"/>
    <w:rsid w:val="002E1853"/>
    <w:rsid w:val="002E1C04"/>
    <w:rsid w:val="002E2620"/>
    <w:rsid w:val="002E26CF"/>
    <w:rsid w:val="002E274D"/>
    <w:rsid w:val="002E2942"/>
    <w:rsid w:val="002E358E"/>
    <w:rsid w:val="002E3876"/>
    <w:rsid w:val="002E3A21"/>
    <w:rsid w:val="002E3F8A"/>
    <w:rsid w:val="002E40DF"/>
    <w:rsid w:val="002E41CC"/>
    <w:rsid w:val="002E4385"/>
    <w:rsid w:val="002E48F0"/>
    <w:rsid w:val="002E4E09"/>
    <w:rsid w:val="002E4E8B"/>
    <w:rsid w:val="002E5F8E"/>
    <w:rsid w:val="002E668A"/>
    <w:rsid w:val="002E7012"/>
    <w:rsid w:val="002E7C1B"/>
    <w:rsid w:val="002E7E6F"/>
    <w:rsid w:val="002F0250"/>
    <w:rsid w:val="002F0AA8"/>
    <w:rsid w:val="002F2F11"/>
    <w:rsid w:val="002F30A0"/>
    <w:rsid w:val="002F3509"/>
    <w:rsid w:val="002F3535"/>
    <w:rsid w:val="002F364B"/>
    <w:rsid w:val="002F36C4"/>
    <w:rsid w:val="002F484B"/>
    <w:rsid w:val="002F50CE"/>
    <w:rsid w:val="002F5213"/>
    <w:rsid w:val="002F5BAF"/>
    <w:rsid w:val="002F5C0D"/>
    <w:rsid w:val="002F6017"/>
    <w:rsid w:val="002F637C"/>
    <w:rsid w:val="002F6ED6"/>
    <w:rsid w:val="002F6EFD"/>
    <w:rsid w:val="002F76DF"/>
    <w:rsid w:val="002F782C"/>
    <w:rsid w:val="00300810"/>
    <w:rsid w:val="003008D0"/>
    <w:rsid w:val="00300B37"/>
    <w:rsid w:val="0030107E"/>
    <w:rsid w:val="00301ACE"/>
    <w:rsid w:val="00301BFC"/>
    <w:rsid w:val="00301EB5"/>
    <w:rsid w:val="00302C50"/>
    <w:rsid w:val="00303907"/>
    <w:rsid w:val="00303F7E"/>
    <w:rsid w:val="0030408C"/>
    <w:rsid w:val="00304296"/>
    <w:rsid w:val="003049EB"/>
    <w:rsid w:val="00304E5E"/>
    <w:rsid w:val="00304FE7"/>
    <w:rsid w:val="00305473"/>
    <w:rsid w:val="003054EA"/>
    <w:rsid w:val="00305765"/>
    <w:rsid w:val="00305E15"/>
    <w:rsid w:val="00305E40"/>
    <w:rsid w:val="003062E5"/>
    <w:rsid w:val="00306BE9"/>
    <w:rsid w:val="00306CB5"/>
    <w:rsid w:val="00306FB4"/>
    <w:rsid w:val="00307A71"/>
    <w:rsid w:val="00307E51"/>
    <w:rsid w:val="0031033A"/>
    <w:rsid w:val="003108CF"/>
    <w:rsid w:val="00310D37"/>
    <w:rsid w:val="00311B9E"/>
    <w:rsid w:val="00312170"/>
    <w:rsid w:val="0031285C"/>
    <w:rsid w:val="0031370E"/>
    <w:rsid w:val="00313DC8"/>
    <w:rsid w:val="00314377"/>
    <w:rsid w:val="00314AF7"/>
    <w:rsid w:val="00314BD6"/>
    <w:rsid w:val="00314FD1"/>
    <w:rsid w:val="00315348"/>
    <w:rsid w:val="003154F5"/>
    <w:rsid w:val="00315612"/>
    <w:rsid w:val="00315F9D"/>
    <w:rsid w:val="003164FE"/>
    <w:rsid w:val="00316EA9"/>
    <w:rsid w:val="0031736A"/>
    <w:rsid w:val="003173ED"/>
    <w:rsid w:val="00317856"/>
    <w:rsid w:val="003179DF"/>
    <w:rsid w:val="003201DD"/>
    <w:rsid w:val="0032029D"/>
    <w:rsid w:val="003206DF"/>
    <w:rsid w:val="003209E7"/>
    <w:rsid w:val="00320F28"/>
    <w:rsid w:val="00321539"/>
    <w:rsid w:val="003220AC"/>
    <w:rsid w:val="00322A04"/>
    <w:rsid w:val="00322AA6"/>
    <w:rsid w:val="00323116"/>
    <w:rsid w:val="00323F74"/>
    <w:rsid w:val="00323F92"/>
    <w:rsid w:val="00323FFD"/>
    <w:rsid w:val="0032433C"/>
    <w:rsid w:val="00324C8F"/>
    <w:rsid w:val="00326671"/>
    <w:rsid w:val="003269A7"/>
    <w:rsid w:val="00326E73"/>
    <w:rsid w:val="003276E3"/>
    <w:rsid w:val="00327721"/>
    <w:rsid w:val="00327921"/>
    <w:rsid w:val="00327937"/>
    <w:rsid w:val="003301AC"/>
    <w:rsid w:val="00330710"/>
    <w:rsid w:val="00330917"/>
    <w:rsid w:val="00330B86"/>
    <w:rsid w:val="003315F7"/>
    <w:rsid w:val="00331DC4"/>
    <w:rsid w:val="00331FE3"/>
    <w:rsid w:val="00332F20"/>
    <w:rsid w:val="00333281"/>
    <w:rsid w:val="00333394"/>
    <w:rsid w:val="00333437"/>
    <w:rsid w:val="00333B5C"/>
    <w:rsid w:val="00333C23"/>
    <w:rsid w:val="00334BF7"/>
    <w:rsid w:val="00334E86"/>
    <w:rsid w:val="003354AB"/>
    <w:rsid w:val="003354B8"/>
    <w:rsid w:val="00335704"/>
    <w:rsid w:val="00335AED"/>
    <w:rsid w:val="00335E79"/>
    <w:rsid w:val="00336392"/>
    <w:rsid w:val="003369BD"/>
    <w:rsid w:val="00336D9A"/>
    <w:rsid w:val="003372B6"/>
    <w:rsid w:val="00337600"/>
    <w:rsid w:val="00337752"/>
    <w:rsid w:val="0034288E"/>
    <w:rsid w:val="003438C7"/>
    <w:rsid w:val="003438F9"/>
    <w:rsid w:val="00343F85"/>
    <w:rsid w:val="00344083"/>
    <w:rsid w:val="00344908"/>
    <w:rsid w:val="003454C8"/>
    <w:rsid w:val="00345671"/>
    <w:rsid w:val="00345BC0"/>
    <w:rsid w:val="00345CEC"/>
    <w:rsid w:val="00345CFA"/>
    <w:rsid w:val="00346D25"/>
    <w:rsid w:val="00347234"/>
    <w:rsid w:val="003472A0"/>
    <w:rsid w:val="00347470"/>
    <w:rsid w:val="003478B5"/>
    <w:rsid w:val="003479AC"/>
    <w:rsid w:val="0035016E"/>
    <w:rsid w:val="00350C2C"/>
    <w:rsid w:val="00351445"/>
    <w:rsid w:val="0035176E"/>
    <w:rsid w:val="00351C19"/>
    <w:rsid w:val="00351FFD"/>
    <w:rsid w:val="003520EC"/>
    <w:rsid w:val="00352BA7"/>
    <w:rsid w:val="00352F52"/>
    <w:rsid w:val="003533E6"/>
    <w:rsid w:val="0035419A"/>
    <w:rsid w:val="00354C80"/>
    <w:rsid w:val="00354D0F"/>
    <w:rsid w:val="00354D6F"/>
    <w:rsid w:val="00355069"/>
    <w:rsid w:val="00355100"/>
    <w:rsid w:val="003556F9"/>
    <w:rsid w:val="00355BEA"/>
    <w:rsid w:val="00355D4D"/>
    <w:rsid w:val="00355F10"/>
    <w:rsid w:val="00355F79"/>
    <w:rsid w:val="0035602C"/>
    <w:rsid w:val="00356175"/>
    <w:rsid w:val="00356275"/>
    <w:rsid w:val="0035692A"/>
    <w:rsid w:val="00356A5A"/>
    <w:rsid w:val="00356E19"/>
    <w:rsid w:val="00357B4C"/>
    <w:rsid w:val="003601EF"/>
    <w:rsid w:val="00360324"/>
    <w:rsid w:val="003604C0"/>
    <w:rsid w:val="00360D93"/>
    <w:rsid w:val="00360E2C"/>
    <w:rsid w:val="003610F3"/>
    <w:rsid w:val="00362137"/>
    <w:rsid w:val="00362772"/>
    <w:rsid w:val="00362ADD"/>
    <w:rsid w:val="00362B0E"/>
    <w:rsid w:val="00362C20"/>
    <w:rsid w:val="00362F0A"/>
    <w:rsid w:val="00362F8E"/>
    <w:rsid w:val="0036314E"/>
    <w:rsid w:val="00363396"/>
    <w:rsid w:val="003647FE"/>
    <w:rsid w:val="00364970"/>
    <w:rsid w:val="00364B15"/>
    <w:rsid w:val="00364EA2"/>
    <w:rsid w:val="00364F83"/>
    <w:rsid w:val="00365C66"/>
    <w:rsid w:val="003661CC"/>
    <w:rsid w:val="00366EE6"/>
    <w:rsid w:val="0036729E"/>
    <w:rsid w:val="00367454"/>
    <w:rsid w:val="003674E8"/>
    <w:rsid w:val="00367867"/>
    <w:rsid w:val="00367DDE"/>
    <w:rsid w:val="003701D9"/>
    <w:rsid w:val="003702C6"/>
    <w:rsid w:val="00370A91"/>
    <w:rsid w:val="0037143E"/>
    <w:rsid w:val="003716E6"/>
    <w:rsid w:val="00371F05"/>
    <w:rsid w:val="00371F90"/>
    <w:rsid w:val="00372063"/>
    <w:rsid w:val="0037222D"/>
    <w:rsid w:val="003729D9"/>
    <w:rsid w:val="00372B1F"/>
    <w:rsid w:val="00373082"/>
    <w:rsid w:val="00373636"/>
    <w:rsid w:val="00373820"/>
    <w:rsid w:val="00374001"/>
    <w:rsid w:val="00374026"/>
    <w:rsid w:val="003741C0"/>
    <w:rsid w:val="00374A6B"/>
    <w:rsid w:val="00374D94"/>
    <w:rsid w:val="0037539D"/>
    <w:rsid w:val="003759D1"/>
    <w:rsid w:val="00375BC5"/>
    <w:rsid w:val="00375D81"/>
    <w:rsid w:val="00376988"/>
    <w:rsid w:val="00376D52"/>
    <w:rsid w:val="00377AC7"/>
    <w:rsid w:val="00377C2E"/>
    <w:rsid w:val="00380421"/>
    <w:rsid w:val="003807F5"/>
    <w:rsid w:val="00380FA2"/>
    <w:rsid w:val="00381033"/>
    <w:rsid w:val="00381B68"/>
    <w:rsid w:val="0038294B"/>
    <w:rsid w:val="003839A2"/>
    <w:rsid w:val="00384000"/>
    <w:rsid w:val="00384446"/>
    <w:rsid w:val="00384689"/>
    <w:rsid w:val="00385017"/>
    <w:rsid w:val="003856BD"/>
    <w:rsid w:val="00385B07"/>
    <w:rsid w:val="00385F4D"/>
    <w:rsid w:val="00386988"/>
    <w:rsid w:val="003879AC"/>
    <w:rsid w:val="0039049B"/>
    <w:rsid w:val="0039084D"/>
    <w:rsid w:val="00392A8C"/>
    <w:rsid w:val="00393343"/>
    <w:rsid w:val="003968FE"/>
    <w:rsid w:val="00396DAC"/>
    <w:rsid w:val="003973F0"/>
    <w:rsid w:val="00397963"/>
    <w:rsid w:val="00397BAC"/>
    <w:rsid w:val="003A010D"/>
    <w:rsid w:val="003A0125"/>
    <w:rsid w:val="003A0202"/>
    <w:rsid w:val="003A1218"/>
    <w:rsid w:val="003A1B16"/>
    <w:rsid w:val="003A1BBA"/>
    <w:rsid w:val="003A1D2A"/>
    <w:rsid w:val="003A29CF"/>
    <w:rsid w:val="003A313C"/>
    <w:rsid w:val="003A3565"/>
    <w:rsid w:val="003A4431"/>
    <w:rsid w:val="003A4C0E"/>
    <w:rsid w:val="003A54C1"/>
    <w:rsid w:val="003A55D1"/>
    <w:rsid w:val="003A57F1"/>
    <w:rsid w:val="003A5C65"/>
    <w:rsid w:val="003A5E32"/>
    <w:rsid w:val="003A6C31"/>
    <w:rsid w:val="003A703D"/>
    <w:rsid w:val="003A73CC"/>
    <w:rsid w:val="003A73FC"/>
    <w:rsid w:val="003A75F5"/>
    <w:rsid w:val="003B05E5"/>
    <w:rsid w:val="003B06EE"/>
    <w:rsid w:val="003B08D1"/>
    <w:rsid w:val="003B0F87"/>
    <w:rsid w:val="003B17EB"/>
    <w:rsid w:val="003B1D1B"/>
    <w:rsid w:val="003B1EBF"/>
    <w:rsid w:val="003B2087"/>
    <w:rsid w:val="003B224A"/>
    <w:rsid w:val="003B22B5"/>
    <w:rsid w:val="003B23CA"/>
    <w:rsid w:val="003B240E"/>
    <w:rsid w:val="003B2676"/>
    <w:rsid w:val="003B2C05"/>
    <w:rsid w:val="003B3BA3"/>
    <w:rsid w:val="003B4504"/>
    <w:rsid w:val="003B45B8"/>
    <w:rsid w:val="003B4780"/>
    <w:rsid w:val="003B5532"/>
    <w:rsid w:val="003B5593"/>
    <w:rsid w:val="003B598C"/>
    <w:rsid w:val="003B5F26"/>
    <w:rsid w:val="003B6221"/>
    <w:rsid w:val="003B64F6"/>
    <w:rsid w:val="003B658E"/>
    <w:rsid w:val="003B66DD"/>
    <w:rsid w:val="003B6837"/>
    <w:rsid w:val="003B6988"/>
    <w:rsid w:val="003B7214"/>
    <w:rsid w:val="003B72A1"/>
    <w:rsid w:val="003C082F"/>
    <w:rsid w:val="003C0DBF"/>
    <w:rsid w:val="003C0FBC"/>
    <w:rsid w:val="003C1047"/>
    <w:rsid w:val="003C1051"/>
    <w:rsid w:val="003C10BB"/>
    <w:rsid w:val="003C1149"/>
    <w:rsid w:val="003C11BE"/>
    <w:rsid w:val="003C1214"/>
    <w:rsid w:val="003C138D"/>
    <w:rsid w:val="003C1562"/>
    <w:rsid w:val="003C157C"/>
    <w:rsid w:val="003C1B3A"/>
    <w:rsid w:val="003C1F77"/>
    <w:rsid w:val="003C2846"/>
    <w:rsid w:val="003C284D"/>
    <w:rsid w:val="003C333D"/>
    <w:rsid w:val="003C3846"/>
    <w:rsid w:val="003C465D"/>
    <w:rsid w:val="003C4A00"/>
    <w:rsid w:val="003C4B6D"/>
    <w:rsid w:val="003C4BF8"/>
    <w:rsid w:val="003C4EBB"/>
    <w:rsid w:val="003C59EF"/>
    <w:rsid w:val="003C689B"/>
    <w:rsid w:val="003C6E89"/>
    <w:rsid w:val="003C7322"/>
    <w:rsid w:val="003C7623"/>
    <w:rsid w:val="003C7A6A"/>
    <w:rsid w:val="003D13CA"/>
    <w:rsid w:val="003D19D2"/>
    <w:rsid w:val="003D1A98"/>
    <w:rsid w:val="003D25F5"/>
    <w:rsid w:val="003D2F1A"/>
    <w:rsid w:val="003D30C7"/>
    <w:rsid w:val="003D33AF"/>
    <w:rsid w:val="003D403E"/>
    <w:rsid w:val="003D4880"/>
    <w:rsid w:val="003D4EBD"/>
    <w:rsid w:val="003D5018"/>
    <w:rsid w:val="003D5051"/>
    <w:rsid w:val="003D5222"/>
    <w:rsid w:val="003D5476"/>
    <w:rsid w:val="003D6423"/>
    <w:rsid w:val="003D66B8"/>
    <w:rsid w:val="003D6D54"/>
    <w:rsid w:val="003D6D8E"/>
    <w:rsid w:val="003D737A"/>
    <w:rsid w:val="003D7742"/>
    <w:rsid w:val="003D7C18"/>
    <w:rsid w:val="003E006C"/>
    <w:rsid w:val="003E09A8"/>
    <w:rsid w:val="003E09F4"/>
    <w:rsid w:val="003E0F20"/>
    <w:rsid w:val="003E11C7"/>
    <w:rsid w:val="003E1299"/>
    <w:rsid w:val="003E20EB"/>
    <w:rsid w:val="003E23FE"/>
    <w:rsid w:val="003E2C8B"/>
    <w:rsid w:val="003E357A"/>
    <w:rsid w:val="003E36E5"/>
    <w:rsid w:val="003E3A75"/>
    <w:rsid w:val="003E3DB1"/>
    <w:rsid w:val="003E3E89"/>
    <w:rsid w:val="003E4566"/>
    <w:rsid w:val="003E48B1"/>
    <w:rsid w:val="003E4AF4"/>
    <w:rsid w:val="003E4B40"/>
    <w:rsid w:val="003E4C25"/>
    <w:rsid w:val="003E5672"/>
    <w:rsid w:val="003E58E3"/>
    <w:rsid w:val="003E5C94"/>
    <w:rsid w:val="003E5D53"/>
    <w:rsid w:val="003E5DE6"/>
    <w:rsid w:val="003E66C9"/>
    <w:rsid w:val="003E66FC"/>
    <w:rsid w:val="003E6B98"/>
    <w:rsid w:val="003E6D0B"/>
    <w:rsid w:val="003E6E1B"/>
    <w:rsid w:val="003E7174"/>
    <w:rsid w:val="003E7D2E"/>
    <w:rsid w:val="003E7EC8"/>
    <w:rsid w:val="003F09D7"/>
    <w:rsid w:val="003F0EB8"/>
    <w:rsid w:val="003F1A3B"/>
    <w:rsid w:val="003F1AC2"/>
    <w:rsid w:val="003F1C60"/>
    <w:rsid w:val="003F1E34"/>
    <w:rsid w:val="003F21E6"/>
    <w:rsid w:val="003F2734"/>
    <w:rsid w:val="003F4914"/>
    <w:rsid w:val="003F4A99"/>
    <w:rsid w:val="003F4CB2"/>
    <w:rsid w:val="003F4FA6"/>
    <w:rsid w:val="003F55F6"/>
    <w:rsid w:val="003F5710"/>
    <w:rsid w:val="003F5883"/>
    <w:rsid w:val="003F5AA8"/>
    <w:rsid w:val="003F7214"/>
    <w:rsid w:val="003F7F0F"/>
    <w:rsid w:val="003F7F21"/>
    <w:rsid w:val="003F7F50"/>
    <w:rsid w:val="00400B8D"/>
    <w:rsid w:val="00400FE4"/>
    <w:rsid w:val="00401375"/>
    <w:rsid w:val="00401645"/>
    <w:rsid w:val="0040164E"/>
    <w:rsid w:val="004018F6"/>
    <w:rsid w:val="00401974"/>
    <w:rsid w:val="004020DB"/>
    <w:rsid w:val="00402339"/>
    <w:rsid w:val="0040444F"/>
    <w:rsid w:val="00405954"/>
    <w:rsid w:val="00405C58"/>
    <w:rsid w:val="00406763"/>
    <w:rsid w:val="00407073"/>
    <w:rsid w:val="00407248"/>
    <w:rsid w:val="004072CD"/>
    <w:rsid w:val="004077DB"/>
    <w:rsid w:val="00407F8B"/>
    <w:rsid w:val="0041050E"/>
    <w:rsid w:val="00410CBB"/>
    <w:rsid w:val="004119BD"/>
    <w:rsid w:val="004124CF"/>
    <w:rsid w:val="00412776"/>
    <w:rsid w:val="004129D9"/>
    <w:rsid w:val="00412E86"/>
    <w:rsid w:val="00413A91"/>
    <w:rsid w:val="00413AE0"/>
    <w:rsid w:val="00414063"/>
    <w:rsid w:val="004141D9"/>
    <w:rsid w:val="00414688"/>
    <w:rsid w:val="00414DC9"/>
    <w:rsid w:val="0041524E"/>
    <w:rsid w:val="00415ED0"/>
    <w:rsid w:val="00415F80"/>
    <w:rsid w:val="00416095"/>
    <w:rsid w:val="00416138"/>
    <w:rsid w:val="0041703B"/>
    <w:rsid w:val="004176B5"/>
    <w:rsid w:val="00417971"/>
    <w:rsid w:val="00420050"/>
    <w:rsid w:val="004203B1"/>
    <w:rsid w:val="0042072A"/>
    <w:rsid w:val="0042105E"/>
    <w:rsid w:val="00421B61"/>
    <w:rsid w:val="00421C52"/>
    <w:rsid w:val="004229BB"/>
    <w:rsid w:val="00422B55"/>
    <w:rsid w:val="0042322D"/>
    <w:rsid w:val="0042376E"/>
    <w:rsid w:val="00423C44"/>
    <w:rsid w:val="00423F45"/>
    <w:rsid w:val="0042416E"/>
    <w:rsid w:val="004250D7"/>
    <w:rsid w:val="00425204"/>
    <w:rsid w:val="004259DF"/>
    <w:rsid w:val="00425ACB"/>
    <w:rsid w:val="00425AFC"/>
    <w:rsid w:val="00426F15"/>
    <w:rsid w:val="00426F51"/>
    <w:rsid w:val="00427506"/>
    <w:rsid w:val="00431634"/>
    <w:rsid w:val="004319CF"/>
    <w:rsid w:val="004319D9"/>
    <w:rsid w:val="00431C51"/>
    <w:rsid w:val="0043295B"/>
    <w:rsid w:val="004330AC"/>
    <w:rsid w:val="004331BF"/>
    <w:rsid w:val="004334A9"/>
    <w:rsid w:val="00433520"/>
    <w:rsid w:val="0043375D"/>
    <w:rsid w:val="00434CCC"/>
    <w:rsid w:val="00434F79"/>
    <w:rsid w:val="00436245"/>
    <w:rsid w:val="00436363"/>
    <w:rsid w:val="00436914"/>
    <w:rsid w:val="00436C54"/>
    <w:rsid w:val="00436C8A"/>
    <w:rsid w:val="004375E9"/>
    <w:rsid w:val="00437641"/>
    <w:rsid w:val="004400BA"/>
    <w:rsid w:val="004402F2"/>
    <w:rsid w:val="00440DF2"/>
    <w:rsid w:val="00441443"/>
    <w:rsid w:val="004418AF"/>
    <w:rsid w:val="004419A7"/>
    <w:rsid w:val="00441A49"/>
    <w:rsid w:val="00441E95"/>
    <w:rsid w:val="00442088"/>
    <w:rsid w:val="004425E6"/>
    <w:rsid w:val="00442798"/>
    <w:rsid w:val="00442E1D"/>
    <w:rsid w:val="004433C5"/>
    <w:rsid w:val="00443458"/>
    <w:rsid w:val="004434B1"/>
    <w:rsid w:val="00444479"/>
    <w:rsid w:val="004445E1"/>
    <w:rsid w:val="0044489E"/>
    <w:rsid w:val="00444BE3"/>
    <w:rsid w:val="0044511D"/>
    <w:rsid w:val="00445230"/>
    <w:rsid w:val="004455C1"/>
    <w:rsid w:val="00445746"/>
    <w:rsid w:val="00445CC9"/>
    <w:rsid w:val="004466F7"/>
    <w:rsid w:val="00446B5E"/>
    <w:rsid w:val="00450070"/>
    <w:rsid w:val="00450CE2"/>
    <w:rsid w:val="00451624"/>
    <w:rsid w:val="00451C69"/>
    <w:rsid w:val="00451D82"/>
    <w:rsid w:val="00452333"/>
    <w:rsid w:val="00452381"/>
    <w:rsid w:val="004527C7"/>
    <w:rsid w:val="00452F13"/>
    <w:rsid w:val="00453589"/>
    <w:rsid w:val="00453966"/>
    <w:rsid w:val="00453A62"/>
    <w:rsid w:val="0045431F"/>
    <w:rsid w:val="00454F0F"/>
    <w:rsid w:val="00455740"/>
    <w:rsid w:val="00455BB6"/>
    <w:rsid w:val="004568B7"/>
    <w:rsid w:val="004569E1"/>
    <w:rsid w:val="00456AE1"/>
    <w:rsid w:val="00457A40"/>
    <w:rsid w:val="00457E86"/>
    <w:rsid w:val="00460AC4"/>
    <w:rsid w:val="004616B3"/>
    <w:rsid w:val="004621C5"/>
    <w:rsid w:val="004628D6"/>
    <w:rsid w:val="00462F23"/>
    <w:rsid w:val="004631DC"/>
    <w:rsid w:val="00463256"/>
    <w:rsid w:val="004632A3"/>
    <w:rsid w:val="004634FC"/>
    <w:rsid w:val="0046395D"/>
    <w:rsid w:val="00463B29"/>
    <w:rsid w:val="0046426C"/>
    <w:rsid w:val="004644FF"/>
    <w:rsid w:val="00464810"/>
    <w:rsid w:val="00464837"/>
    <w:rsid w:val="00464DE6"/>
    <w:rsid w:val="0046518C"/>
    <w:rsid w:val="004652D7"/>
    <w:rsid w:val="00465D1F"/>
    <w:rsid w:val="004667B4"/>
    <w:rsid w:val="00467225"/>
    <w:rsid w:val="004674E5"/>
    <w:rsid w:val="00467B25"/>
    <w:rsid w:val="00467F93"/>
    <w:rsid w:val="0047029B"/>
    <w:rsid w:val="00470C58"/>
    <w:rsid w:val="00470E6C"/>
    <w:rsid w:val="004711BE"/>
    <w:rsid w:val="004711C0"/>
    <w:rsid w:val="0047137E"/>
    <w:rsid w:val="004715FE"/>
    <w:rsid w:val="00471C73"/>
    <w:rsid w:val="00472230"/>
    <w:rsid w:val="0047264D"/>
    <w:rsid w:val="0047291A"/>
    <w:rsid w:val="0047412C"/>
    <w:rsid w:val="0047440D"/>
    <w:rsid w:val="00474F2E"/>
    <w:rsid w:val="004750C5"/>
    <w:rsid w:val="004755BD"/>
    <w:rsid w:val="00475B5A"/>
    <w:rsid w:val="00475CD4"/>
    <w:rsid w:val="0047727D"/>
    <w:rsid w:val="004772CE"/>
    <w:rsid w:val="004779E0"/>
    <w:rsid w:val="004803ED"/>
    <w:rsid w:val="00480491"/>
    <w:rsid w:val="00480626"/>
    <w:rsid w:val="00480F22"/>
    <w:rsid w:val="00481439"/>
    <w:rsid w:val="004815C3"/>
    <w:rsid w:val="00481B4D"/>
    <w:rsid w:val="00481CA3"/>
    <w:rsid w:val="00481EA6"/>
    <w:rsid w:val="004825F8"/>
    <w:rsid w:val="00482CB1"/>
    <w:rsid w:val="00483BD3"/>
    <w:rsid w:val="00484186"/>
    <w:rsid w:val="004842FF"/>
    <w:rsid w:val="00484C6D"/>
    <w:rsid w:val="0048554E"/>
    <w:rsid w:val="00485B70"/>
    <w:rsid w:val="004860B8"/>
    <w:rsid w:val="0048682E"/>
    <w:rsid w:val="00486E08"/>
    <w:rsid w:val="00487163"/>
    <w:rsid w:val="00487439"/>
    <w:rsid w:val="00487A81"/>
    <w:rsid w:val="00487CCD"/>
    <w:rsid w:val="00487FD0"/>
    <w:rsid w:val="00487FF7"/>
    <w:rsid w:val="00490857"/>
    <w:rsid w:val="004911A8"/>
    <w:rsid w:val="004913D3"/>
    <w:rsid w:val="00492165"/>
    <w:rsid w:val="00492518"/>
    <w:rsid w:val="00492DE4"/>
    <w:rsid w:val="004945B8"/>
    <w:rsid w:val="0049488C"/>
    <w:rsid w:val="00494FB0"/>
    <w:rsid w:val="00495036"/>
    <w:rsid w:val="004953B9"/>
    <w:rsid w:val="00495D58"/>
    <w:rsid w:val="0049643D"/>
    <w:rsid w:val="004967B4"/>
    <w:rsid w:val="0049687A"/>
    <w:rsid w:val="0049696A"/>
    <w:rsid w:val="00496C00"/>
    <w:rsid w:val="00496DB2"/>
    <w:rsid w:val="004976E2"/>
    <w:rsid w:val="00497726"/>
    <w:rsid w:val="00497AAB"/>
    <w:rsid w:val="00497BE7"/>
    <w:rsid w:val="004A06E5"/>
    <w:rsid w:val="004A0D0C"/>
    <w:rsid w:val="004A1456"/>
    <w:rsid w:val="004A17C7"/>
    <w:rsid w:val="004A1807"/>
    <w:rsid w:val="004A1B87"/>
    <w:rsid w:val="004A1D08"/>
    <w:rsid w:val="004A215C"/>
    <w:rsid w:val="004A2CD1"/>
    <w:rsid w:val="004A3A34"/>
    <w:rsid w:val="004A4909"/>
    <w:rsid w:val="004A4AB8"/>
    <w:rsid w:val="004A4E01"/>
    <w:rsid w:val="004A502E"/>
    <w:rsid w:val="004A5A30"/>
    <w:rsid w:val="004A5BDF"/>
    <w:rsid w:val="004A5C5C"/>
    <w:rsid w:val="004A6832"/>
    <w:rsid w:val="004A6F88"/>
    <w:rsid w:val="004A70FE"/>
    <w:rsid w:val="004A7104"/>
    <w:rsid w:val="004A77B2"/>
    <w:rsid w:val="004A77F4"/>
    <w:rsid w:val="004B0D89"/>
    <w:rsid w:val="004B158C"/>
    <w:rsid w:val="004B1675"/>
    <w:rsid w:val="004B197D"/>
    <w:rsid w:val="004B2400"/>
    <w:rsid w:val="004B26CA"/>
    <w:rsid w:val="004B2C04"/>
    <w:rsid w:val="004B4246"/>
    <w:rsid w:val="004B4545"/>
    <w:rsid w:val="004B4C7A"/>
    <w:rsid w:val="004B53C3"/>
    <w:rsid w:val="004B59FF"/>
    <w:rsid w:val="004B6ED3"/>
    <w:rsid w:val="004B6F72"/>
    <w:rsid w:val="004B778A"/>
    <w:rsid w:val="004C0094"/>
    <w:rsid w:val="004C069B"/>
    <w:rsid w:val="004C0827"/>
    <w:rsid w:val="004C0B12"/>
    <w:rsid w:val="004C0C76"/>
    <w:rsid w:val="004C0CA0"/>
    <w:rsid w:val="004C18E6"/>
    <w:rsid w:val="004C18FF"/>
    <w:rsid w:val="004C1906"/>
    <w:rsid w:val="004C1C6F"/>
    <w:rsid w:val="004C2250"/>
    <w:rsid w:val="004C295B"/>
    <w:rsid w:val="004C296F"/>
    <w:rsid w:val="004C2A56"/>
    <w:rsid w:val="004C35B3"/>
    <w:rsid w:val="004C35FD"/>
    <w:rsid w:val="004C41DC"/>
    <w:rsid w:val="004C4B19"/>
    <w:rsid w:val="004C5045"/>
    <w:rsid w:val="004C6110"/>
    <w:rsid w:val="004C664C"/>
    <w:rsid w:val="004C68D4"/>
    <w:rsid w:val="004C700C"/>
    <w:rsid w:val="004C70BB"/>
    <w:rsid w:val="004C714B"/>
    <w:rsid w:val="004C7871"/>
    <w:rsid w:val="004C7A6D"/>
    <w:rsid w:val="004C7AC4"/>
    <w:rsid w:val="004C7FB9"/>
    <w:rsid w:val="004D0A7B"/>
    <w:rsid w:val="004D0C42"/>
    <w:rsid w:val="004D0CA1"/>
    <w:rsid w:val="004D21D2"/>
    <w:rsid w:val="004D2684"/>
    <w:rsid w:val="004D3391"/>
    <w:rsid w:val="004D39DA"/>
    <w:rsid w:val="004D3B13"/>
    <w:rsid w:val="004D3C93"/>
    <w:rsid w:val="004D3CC5"/>
    <w:rsid w:val="004D3D69"/>
    <w:rsid w:val="004D4ACF"/>
    <w:rsid w:val="004D4EB7"/>
    <w:rsid w:val="004D52C6"/>
    <w:rsid w:val="004D537D"/>
    <w:rsid w:val="004D5E44"/>
    <w:rsid w:val="004D610A"/>
    <w:rsid w:val="004D614B"/>
    <w:rsid w:val="004D6798"/>
    <w:rsid w:val="004D6918"/>
    <w:rsid w:val="004D6F4B"/>
    <w:rsid w:val="004D6FEC"/>
    <w:rsid w:val="004E0168"/>
    <w:rsid w:val="004E0412"/>
    <w:rsid w:val="004E09D6"/>
    <w:rsid w:val="004E13DB"/>
    <w:rsid w:val="004E15C3"/>
    <w:rsid w:val="004E19BC"/>
    <w:rsid w:val="004E259E"/>
    <w:rsid w:val="004E27F3"/>
    <w:rsid w:val="004E2BF8"/>
    <w:rsid w:val="004E380E"/>
    <w:rsid w:val="004E40F1"/>
    <w:rsid w:val="004E4872"/>
    <w:rsid w:val="004E4CA4"/>
    <w:rsid w:val="004E574D"/>
    <w:rsid w:val="004E5875"/>
    <w:rsid w:val="004E5CEF"/>
    <w:rsid w:val="004E6B7B"/>
    <w:rsid w:val="004E6BC8"/>
    <w:rsid w:val="004E6C68"/>
    <w:rsid w:val="004E7BA4"/>
    <w:rsid w:val="004F077F"/>
    <w:rsid w:val="004F0AE1"/>
    <w:rsid w:val="004F0DA2"/>
    <w:rsid w:val="004F1264"/>
    <w:rsid w:val="004F12D6"/>
    <w:rsid w:val="004F1458"/>
    <w:rsid w:val="004F1A59"/>
    <w:rsid w:val="004F1BB6"/>
    <w:rsid w:val="004F1C28"/>
    <w:rsid w:val="004F1E04"/>
    <w:rsid w:val="004F23A8"/>
    <w:rsid w:val="004F2813"/>
    <w:rsid w:val="004F28CA"/>
    <w:rsid w:val="004F28FE"/>
    <w:rsid w:val="004F298F"/>
    <w:rsid w:val="004F2AFD"/>
    <w:rsid w:val="004F2C82"/>
    <w:rsid w:val="004F2C9B"/>
    <w:rsid w:val="004F2CE2"/>
    <w:rsid w:val="004F2D14"/>
    <w:rsid w:val="004F3095"/>
    <w:rsid w:val="004F3CFE"/>
    <w:rsid w:val="004F3E0C"/>
    <w:rsid w:val="004F3E75"/>
    <w:rsid w:val="004F4033"/>
    <w:rsid w:val="004F45D4"/>
    <w:rsid w:val="004F4719"/>
    <w:rsid w:val="004F4AFD"/>
    <w:rsid w:val="004F4E13"/>
    <w:rsid w:val="004F58AB"/>
    <w:rsid w:val="004F5C8B"/>
    <w:rsid w:val="004F5EE0"/>
    <w:rsid w:val="004F5FE0"/>
    <w:rsid w:val="004F6106"/>
    <w:rsid w:val="004F6AD7"/>
    <w:rsid w:val="004F7E66"/>
    <w:rsid w:val="00500124"/>
    <w:rsid w:val="00500609"/>
    <w:rsid w:val="00500DCF"/>
    <w:rsid w:val="0050126B"/>
    <w:rsid w:val="00501935"/>
    <w:rsid w:val="00501947"/>
    <w:rsid w:val="00501CC4"/>
    <w:rsid w:val="00501E9C"/>
    <w:rsid w:val="005031F7"/>
    <w:rsid w:val="00503464"/>
    <w:rsid w:val="00503880"/>
    <w:rsid w:val="005039D8"/>
    <w:rsid w:val="00504101"/>
    <w:rsid w:val="005042C1"/>
    <w:rsid w:val="00504338"/>
    <w:rsid w:val="005048C6"/>
    <w:rsid w:val="00504A94"/>
    <w:rsid w:val="00504CA0"/>
    <w:rsid w:val="0050515F"/>
    <w:rsid w:val="00505733"/>
    <w:rsid w:val="005067E2"/>
    <w:rsid w:val="00506AEE"/>
    <w:rsid w:val="00507147"/>
    <w:rsid w:val="00507529"/>
    <w:rsid w:val="00507E78"/>
    <w:rsid w:val="005110C4"/>
    <w:rsid w:val="005111BC"/>
    <w:rsid w:val="005114AD"/>
    <w:rsid w:val="005120E6"/>
    <w:rsid w:val="00512858"/>
    <w:rsid w:val="00512FFE"/>
    <w:rsid w:val="00513409"/>
    <w:rsid w:val="00513690"/>
    <w:rsid w:val="00513C6B"/>
    <w:rsid w:val="0051432F"/>
    <w:rsid w:val="0051435F"/>
    <w:rsid w:val="0051497A"/>
    <w:rsid w:val="00514A7C"/>
    <w:rsid w:val="0051517C"/>
    <w:rsid w:val="00515CEB"/>
    <w:rsid w:val="0051612C"/>
    <w:rsid w:val="00516888"/>
    <w:rsid w:val="005168FC"/>
    <w:rsid w:val="00516977"/>
    <w:rsid w:val="005173D9"/>
    <w:rsid w:val="00517A2C"/>
    <w:rsid w:val="00517D8A"/>
    <w:rsid w:val="005204BB"/>
    <w:rsid w:val="00520A43"/>
    <w:rsid w:val="00520B40"/>
    <w:rsid w:val="00520CB2"/>
    <w:rsid w:val="005214DF"/>
    <w:rsid w:val="005218B5"/>
    <w:rsid w:val="00521937"/>
    <w:rsid w:val="00521E79"/>
    <w:rsid w:val="00522157"/>
    <w:rsid w:val="005229C2"/>
    <w:rsid w:val="00522C3E"/>
    <w:rsid w:val="00522E0F"/>
    <w:rsid w:val="0052300A"/>
    <w:rsid w:val="005236F7"/>
    <w:rsid w:val="005240F7"/>
    <w:rsid w:val="005241F5"/>
    <w:rsid w:val="0052462A"/>
    <w:rsid w:val="005248ED"/>
    <w:rsid w:val="00524A9B"/>
    <w:rsid w:val="00524AAD"/>
    <w:rsid w:val="005253E2"/>
    <w:rsid w:val="005256F2"/>
    <w:rsid w:val="00525BC0"/>
    <w:rsid w:val="00526841"/>
    <w:rsid w:val="0052691D"/>
    <w:rsid w:val="005270F6"/>
    <w:rsid w:val="005271CC"/>
    <w:rsid w:val="00527201"/>
    <w:rsid w:val="00527A8E"/>
    <w:rsid w:val="00527AFB"/>
    <w:rsid w:val="00527E7F"/>
    <w:rsid w:val="00527FDB"/>
    <w:rsid w:val="00530729"/>
    <w:rsid w:val="00530A37"/>
    <w:rsid w:val="00530B54"/>
    <w:rsid w:val="00530BD8"/>
    <w:rsid w:val="00532413"/>
    <w:rsid w:val="00532528"/>
    <w:rsid w:val="00532550"/>
    <w:rsid w:val="0053267F"/>
    <w:rsid w:val="005329CD"/>
    <w:rsid w:val="005341B6"/>
    <w:rsid w:val="0053456B"/>
    <w:rsid w:val="00534694"/>
    <w:rsid w:val="00534832"/>
    <w:rsid w:val="00534AF9"/>
    <w:rsid w:val="00534ED3"/>
    <w:rsid w:val="0053505E"/>
    <w:rsid w:val="0053507E"/>
    <w:rsid w:val="00535D2E"/>
    <w:rsid w:val="0053646B"/>
    <w:rsid w:val="005371BE"/>
    <w:rsid w:val="00537518"/>
    <w:rsid w:val="005377A9"/>
    <w:rsid w:val="00537D36"/>
    <w:rsid w:val="00537ECD"/>
    <w:rsid w:val="00540083"/>
    <w:rsid w:val="0054019C"/>
    <w:rsid w:val="005416C7"/>
    <w:rsid w:val="00541A86"/>
    <w:rsid w:val="00542E7D"/>
    <w:rsid w:val="00542FCF"/>
    <w:rsid w:val="00543DA5"/>
    <w:rsid w:val="00543EDD"/>
    <w:rsid w:val="00543F6B"/>
    <w:rsid w:val="0054445F"/>
    <w:rsid w:val="005444BE"/>
    <w:rsid w:val="00544791"/>
    <w:rsid w:val="0054491B"/>
    <w:rsid w:val="00544BB0"/>
    <w:rsid w:val="00544CE8"/>
    <w:rsid w:val="005457AE"/>
    <w:rsid w:val="00545B4E"/>
    <w:rsid w:val="00546AF7"/>
    <w:rsid w:val="00546C02"/>
    <w:rsid w:val="00547CBC"/>
    <w:rsid w:val="0055007B"/>
    <w:rsid w:val="005501AA"/>
    <w:rsid w:val="00550E1E"/>
    <w:rsid w:val="005510D8"/>
    <w:rsid w:val="005510EB"/>
    <w:rsid w:val="00551316"/>
    <w:rsid w:val="00551581"/>
    <w:rsid w:val="005515BA"/>
    <w:rsid w:val="00551620"/>
    <w:rsid w:val="0055207C"/>
    <w:rsid w:val="005525DA"/>
    <w:rsid w:val="005528AE"/>
    <w:rsid w:val="00552D7D"/>
    <w:rsid w:val="0055418B"/>
    <w:rsid w:val="00554F6D"/>
    <w:rsid w:val="00554F7D"/>
    <w:rsid w:val="0055506A"/>
    <w:rsid w:val="00555275"/>
    <w:rsid w:val="0055626B"/>
    <w:rsid w:val="0055636F"/>
    <w:rsid w:val="00556BFE"/>
    <w:rsid w:val="00556FCF"/>
    <w:rsid w:val="00557A65"/>
    <w:rsid w:val="00557C3F"/>
    <w:rsid w:val="00557E8A"/>
    <w:rsid w:val="005617EE"/>
    <w:rsid w:val="00561C4D"/>
    <w:rsid w:val="005626CD"/>
    <w:rsid w:val="00562A5C"/>
    <w:rsid w:val="00562CB2"/>
    <w:rsid w:val="00562D53"/>
    <w:rsid w:val="005640EC"/>
    <w:rsid w:val="005641B0"/>
    <w:rsid w:val="00565598"/>
    <w:rsid w:val="00565A73"/>
    <w:rsid w:val="0056608F"/>
    <w:rsid w:val="00566148"/>
    <w:rsid w:val="005665CA"/>
    <w:rsid w:val="00566BCD"/>
    <w:rsid w:val="00566DD7"/>
    <w:rsid w:val="00567303"/>
    <w:rsid w:val="005675AF"/>
    <w:rsid w:val="00567604"/>
    <w:rsid w:val="005676ED"/>
    <w:rsid w:val="00567820"/>
    <w:rsid w:val="00567931"/>
    <w:rsid w:val="00567E8C"/>
    <w:rsid w:val="00570441"/>
    <w:rsid w:val="005704D2"/>
    <w:rsid w:val="00570C53"/>
    <w:rsid w:val="0057116E"/>
    <w:rsid w:val="00571929"/>
    <w:rsid w:val="00571FC5"/>
    <w:rsid w:val="0057229C"/>
    <w:rsid w:val="00572534"/>
    <w:rsid w:val="005727F5"/>
    <w:rsid w:val="005744FA"/>
    <w:rsid w:val="005754C5"/>
    <w:rsid w:val="00575C84"/>
    <w:rsid w:val="0057611B"/>
    <w:rsid w:val="005768F7"/>
    <w:rsid w:val="00576A60"/>
    <w:rsid w:val="00576B27"/>
    <w:rsid w:val="00576D5C"/>
    <w:rsid w:val="00576E34"/>
    <w:rsid w:val="00577039"/>
    <w:rsid w:val="00577249"/>
    <w:rsid w:val="00577558"/>
    <w:rsid w:val="0057784E"/>
    <w:rsid w:val="00577BAE"/>
    <w:rsid w:val="00581F4B"/>
    <w:rsid w:val="00582842"/>
    <w:rsid w:val="005828D6"/>
    <w:rsid w:val="00582CCC"/>
    <w:rsid w:val="00583282"/>
    <w:rsid w:val="005838E3"/>
    <w:rsid w:val="0058548E"/>
    <w:rsid w:val="00586A73"/>
    <w:rsid w:val="00586AF7"/>
    <w:rsid w:val="00586DCC"/>
    <w:rsid w:val="00586DE8"/>
    <w:rsid w:val="00587126"/>
    <w:rsid w:val="00587743"/>
    <w:rsid w:val="00587969"/>
    <w:rsid w:val="00587B98"/>
    <w:rsid w:val="00587DF3"/>
    <w:rsid w:val="00590731"/>
    <w:rsid w:val="00590EFE"/>
    <w:rsid w:val="0059160F"/>
    <w:rsid w:val="005918AD"/>
    <w:rsid w:val="00591FC7"/>
    <w:rsid w:val="00592846"/>
    <w:rsid w:val="005929D6"/>
    <w:rsid w:val="00592D57"/>
    <w:rsid w:val="005932AF"/>
    <w:rsid w:val="00594250"/>
    <w:rsid w:val="005945D4"/>
    <w:rsid w:val="0059474D"/>
    <w:rsid w:val="00594839"/>
    <w:rsid w:val="00594EEF"/>
    <w:rsid w:val="005952D6"/>
    <w:rsid w:val="00595CF0"/>
    <w:rsid w:val="00596983"/>
    <w:rsid w:val="00597092"/>
    <w:rsid w:val="00597CFF"/>
    <w:rsid w:val="00597DF2"/>
    <w:rsid w:val="00597E82"/>
    <w:rsid w:val="005A0B34"/>
    <w:rsid w:val="005A1202"/>
    <w:rsid w:val="005A168B"/>
    <w:rsid w:val="005A178F"/>
    <w:rsid w:val="005A1AF4"/>
    <w:rsid w:val="005A1D8A"/>
    <w:rsid w:val="005A28C8"/>
    <w:rsid w:val="005A31C9"/>
    <w:rsid w:val="005A39FB"/>
    <w:rsid w:val="005A3BDA"/>
    <w:rsid w:val="005A3C13"/>
    <w:rsid w:val="005A3C6F"/>
    <w:rsid w:val="005A3D75"/>
    <w:rsid w:val="005A464F"/>
    <w:rsid w:val="005A4B0F"/>
    <w:rsid w:val="005A4CE7"/>
    <w:rsid w:val="005A5EA2"/>
    <w:rsid w:val="005A6271"/>
    <w:rsid w:val="005A7B6E"/>
    <w:rsid w:val="005A7FDA"/>
    <w:rsid w:val="005B083A"/>
    <w:rsid w:val="005B12FC"/>
    <w:rsid w:val="005B1949"/>
    <w:rsid w:val="005B1F08"/>
    <w:rsid w:val="005B2002"/>
    <w:rsid w:val="005B2F7F"/>
    <w:rsid w:val="005B3B8F"/>
    <w:rsid w:val="005B3BEC"/>
    <w:rsid w:val="005B4115"/>
    <w:rsid w:val="005B4125"/>
    <w:rsid w:val="005B41DA"/>
    <w:rsid w:val="005B5983"/>
    <w:rsid w:val="005B5A75"/>
    <w:rsid w:val="005B6B4B"/>
    <w:rsid w:val="005B7DD8"/>
    <w:rsid w:val="005C0127"/>
    <w:rsid w:val="005C02A4"/>
    <w:rsid w:val="005C1078"/>
    <w:rsid w:val="005C12F6"/>
    <w:rsid w:val="005C1858"/>
    <w:rsid w:val="005C1CEC"/>
    <w:rsid w:val="005C2D71"/>
    <w:rsid w:val="005C2FB3"/>
    <w:rsid w:val="005C3B1E"/>
    <w:rsid w:val="005C3C99"/>
    <w:rsid w:val="005C3EEF"/>
    <w:rsid w:val="005C4C65"/>
    <w:rsid w:val="005C4DF9"/>
    <w:rsid w:val="005C50B1"/>
    <w:rsid w:val="005C51B7"/>
    <w:rsid w:val="005C5667"/>
    <w:rsid w:val="005C5734"/>
    <w:rsid w:val="005C6094"/>
    <w:rsid w:val="005C60F1"/>
    <w:rsid w:val="005C6238"/>
    <w:rsid w:val="005C6D8A"/>
    <w:rsid w:val="005C6E83"/>
    <w:rsid w:val="005C701C"/>
    <w:rsid w:val="005D014A"/>
    <w:rsid w:val="005D070A"/>
    <w:rsid w:val="005D0F08"/>
    <w:rsid w:val="005D14C1"/>
    <w:rsid w:val="005D1926"/>
    <w:rsid w:val="005D198B"/>
    <w:rsid w:val="005D2112"/>
    <w:rsid w:val="005D2628"/>
    <w:rsid w:val="005D2927"/>
    <w:rsid w:val="005D2ADA"/>
    <w:rsid w:val="005D2D67"/>
    <w:rsid w:val="005D31F3"/>
    <w:rsid w:val="005D3A40"/>
    <w:rsid w:val="005D3C07"/>
    <w:rsid w:val="005D401C"/>
    <w:rsid w:val="005D4BBF"/>
    <w:rsid w:val="005D4F32"/>
    <w:rsid w:val="005D5F21"/>
    <w:rsid w:val="005D68DD"/>
    <w:rsid w:val="005D74CB"/>
    <w:rsid w:val="005D76DF"/>
    <w:rsid w:val="005D7963"/>
    <w:rsid w:val="005D7EAE"/>
    <w:rsid w:val="005E0040"/>
    <w:rsid w:val="005E0235"/>
    <w:rsid w:val="005E029D"/>
    <w:rsid w:val="005E03F7"/>
    <w:rsid w:val="005E0612"/>
    <w:rsid w:val="005E0846"/>
    <w:rsid w:val="005E1089"/>
    <w:rsid w:val="005E10FA"/>
    <w:rsid w:val="005E161B"/>
    <w:rsid w:val="005E1B7E"/>
    <w:rsid w:val="005E20B0"/>
    <w:rsid w:val="005E21EB"/>
    <w:rsid w:val="005E28C4"/>
    <w:rsid w:val="005E3FD2"/>
    <w:rsid w:val="005E40CF"/>
    <w:rsid w:val="005E4FE0"/>
    <w:rsid w:val="005E5008"/>
    <w:rsid w:val="005E5D3D"/>
    <w:rsid w:val="005E5F0B"/>
    <w:rsid w:val="005E5F8B"/>
    <w:rsid w:val="005E6268"/>
    <w:rsid w:val="005E68C9"/>
    <w:rsid w:val="005E6AC1"/>
    <w:rsid w:val="005E6FB3"/>
    <w:rsid w:val="005E77D6"/>
    <w:rsid w:val="005E7E05"/>
    <w:rsid w:val="005F233D"/>
    <w:rsid w:val="005F2BBC"/>
    <w:rsid w:val="005F3109"/>
    <w:rsid w:val="005F3AC6"/>
    <w:rsid w:val="005F42F9"/>
    <w:rsid w:val="005F4767"/>
    <w:rsid w:val="005F4985"/>
    <w:rsid w:val="005F4E51"/>
    <w:rsid w:val="005F5296"/>
    <w:rsid w:val="005F5D8D"/>
    <w:rsid w:val="005F5FA0"/>
    <w:rsid w:val="005F61A0"/>
    <w:rsid w:val="005F698E"/>
    <w:rsid w:val="005F6A46"/>
    <w:rsid w:val="005F75D0"/>
    <w:rsid w:val="005F7C56"/>
    <w:rsid w:val="005F7DB4"/>
    <w:rsid w:val="005F7E1D"/>
    <w:rsid w:val="0060007B"/>
    <w:rsid w:val="00600120"/>
    <w:rsid w:val="006001B1"/>
    <w:rsid w:val="0060115F"/>
    <w:rsid w:val="006017D4"/>
    <w:rsid w:val="0060190A"/>
    <w:rsid w:val="00601A20"/>
    <w:rsid w:val="00601BE9"/>
    <w:rsid w:val="00601EDF"/>
    <w:rsid w:val="006020A6"/>
    <w:rsid w:val="00602483"/>
    <w:rsid w:val="00603A42"/>
    <w:rsid w:val="00603C62"/>
    <w:rsid w:val="00603DC2"/>
    <w:rsid w:val="00604066"/>
    <w:rsid w:val="0060588E"/>
    <w:rsid w:val="006059B2"/>
    <w:rsid w:val="00605D46"/>
    <w:rsid w:val="00605D72"/>
    <w:rsid w:val="00605DCA"/>
    <w:rsid w:val="006062DC"/>
    <w:rsid w:val="00606369"/>
    <w:rsid w:val="00606553"/>
    <w:rsid w:val="00606B93"/>
    <w:rsid w:val="00607007"/>
    <w:rsid w:val="006072AB"/>
    <w:rsid w:val="006074D1"/>
    <w:rsid w:val="00607539"/>
    <w:rsid w:val="00607BAE"/>
    <w:rsid w:val="006109D5"/>
    <w:rsid w:val="00611572"/>
    <w:rsid w:val="006117C3"/>
    <w:rsid w:val="00612A26"/>
    <w:rsid w:val="00612C1F"/>
    <w:rsid w:val="00612E5E"/>
    <w:rsid w:val="00612FBA"/>
    <w:rsid w:val="00613068"/>
    <w:rsid w:val="006130B2"/>
    <w:rsid w:val="00614459"/>
    <w:rsid w:val="0061467F"/>
    <w:rsid w:val="00614CCA"/>
    <w:rsid w:val="00614E89"/>
    <w:rsid w:val="00615454"/>
    <w:rsid w:val="0061586E"/>
    <w:rsid w:val="00615A57"/>
    <w:rsid w:val="00615E87"/>
    <w:rsid w:val="00616148"/>
    <w:rsid w:val="00616284"/>
    <w:rsid w:val="00616539"/>
    <w:rsid w:val="0061701E"/>
    <w:rsid w:val="0061729D"/>
    <w:rsid w:val="00617510"/>
    <w:rsid w:val="0061781D"/>
    <w:rsid w:val="00617D46"/>
    <w:rsid w:val="006204BF"/>
    <w:rsid w:val="006204E2"/>
    <w:rsid w:val="00620A32"/>
    <w:rsid w:val="00620F2E"/>
    <w:rsid w:val="006214E0"/>
    <w:rsid w:val="00621692"/>
    <w:rsid w:val="00621F61"/>
    <w:rsid w:val="00622846"/>
    <w:rsid w:val="00622982"/>
    <w:rsid w:val="00622C5F"/>
    <w:rsid w:val="00623347"/>
    <w:rsid w:val="00624489"/>
    <w:rsid w:val="00625AC0"/>
    <w:rsid w:val="00625AC2"/>
    <w:rsid w:val="00625F1D"/>
    <w:rsid w:val="00626DF4"/>
    <w:rsid w:val="00627085"/>
    <w:rsid w:val="00627609"/>
    <w:rsid w:val="00627B24"/>
    <w:rsid w:val="0063066B"/>
    <w:rsid w:val="0063077A"/>
    <w:rsid w:val="00630D77"/>
    <w:rsid w:val="00631206"/>
    <w:rsid w:val="00631513"/>
    <w:rsid w:val="00631754"/>
    <w:rsid w:val="00631937"/>
    <w:rsid w:val="00631F69"/>
    <w:rsid w:val="00632046"/>
    <w:rsid w:val="00632306"/>
    <w:rsid w:val="006328D3"/>
    <w:rsid w:val="0063292B"/>
    <w:rsid w:val="00632EBD"/>
    <w:rsid w:val="00632FE4"/>
    <w:rsid w:val="00633A74"/>
    <w:rsid w:val="00633C04"/>
    <w:rsid w:val="006341DB"/>
    <w:rsid w:val="006348F1"/>
    <w:rsid w:val="006349AC"/>
    <w:rsid w:val="00634A13"/>
    <w:rsid w:val="00634C68"/>
    <w:rsid w:val="006350BA"/>
    <w:rsid w:val="0063588F"/>
    <w:rsid w:val="006359E7"/>
    <w:rsid w:val="00635DF4"/>
    <w:rsid w:val="00635E43"/>
    <w:rsid w:val="006369CE"/>
    <w:rsid w:val="00636C93"/>
    <w:rsid w:val="00636F77"/>
    <w:rsid w:val="006370CA"/>
    <w:rsid w:val="00637320"/>
    <w:rsid w:val="006376FE"/>
    <w:rsid w:val="00637D7C"/>
    <w:rsid w:val="00640D53"/>
    <w:rsid w:val="0064137A"/>
    <w:rsid w:val="0064182E"/>
    <w:rsid w:val="006418BB"/>
    <w:rsid w:val="00641C3D"/>
    <w:rsid w:val="00641E13"/>
    <w:rsid w:val="006422C3"/>
    <w:rsid w:val="00642382"/>
    <w:rsid w:val="006426B3"/>
    <w:rsid w:val="00642C5C"/>
    <w:rsid w:val="0064313D"/>
    <w:rsid w:val="006438D3"/>
    <w:rsid w:val="00643AE9"/>
    <w:rsid w:val="0064416C"/>
    <w:rsid w:val="00644243"/>
    <w:rsid w:val="006442CA"/>
    <w:rsid w:val="00644384"/>
    <w:rsid w:val="00644385"/>
    <w:rsid w:val="00645CEE"/>
    <w:rsid w:val="006462B9"/>
    <w:rsid w:val="00646C4A"/>
    <w:rsid w:val="00646F4A"/>
    <w:rsid w:val="006471E6"/>
    <w:rsid w:val="00647281"/>
    <w:rsid w:val="006506CC"/>
    <w:rsid w:val="00650B39"/>
    <w:rsid w:val="006519D5"/>
    <w:rsid w:val="00651A6B"/>
    <w:rsid w:val="00651B7A"/>
    <w:rsid w:val="00652D8F"/>
    <w:rsid w:val="00652EB7"/>
    <w:rsid w:val="00652F5E"/>
    <w:rsid w:val="00653A73"/>
    <w:rsid w:val="00653B4A"/>
    <w:rsid w:val="00653CD2"/>
    <w:rsid w:val="00653FBA"/>
    <w:rsid w:val="006541FE"/>
    <w:rsid w:val="006549EA"/>
    <w:rsid w:val="00655EAB"/>
    <w:rsid w:val="00656771"/>
    <w:rsid w:val="00656783"/>
    <w:rsid w:val="00656F54"/>
    <w:rsid w:val="006571E4"/>
    <w:rsid w:val="006572E4"/>
    <w:rsid w:val="0065739C"/>
    <w:rsid w:val="00657490"/>
    <w:rsid w:val="00657687"/>
    <w:rsid w:val="00657E73"/>
    <w:rsid w:val="00657F53"/>
    <w:rsid w:val="00660104"/>
    <w:rsid w:val="006603DB"/>
    <w:rsid w:val="00660883"/>
    <w:rsid w:val="00660E52"/>
    <w:rsid w:val="0066105D"/>
    <w:rsid w:val="006610AD"/>
    <w:rsid w:val="006611A3"/>
    <w:rsid w:val="0066129F"/>
    <w:rsid w:val="00662BC4"/>
    <w:rsid w:val="006630B7"/>
    <w:rsid w:val="00663FAD"/>
    <w:rsid w:val="006642FF"/>
    <w:rsid w:val="006646DC"/>
    <w:rsid w:val="00664AED"/>
    <w:rsid w:val="00665438"/>
    <w:rsid w:val="00665671"/>
    <w:rsid w:val="0066624E"/>
    <w:rsid w:val="006667AF"/>
    <w:rsid w:val="00666E11"/>
    <w:rsid w:val="00667625"/>
    <w:rsid w:val="006679D1"/>
    <w:rsid w:val="00667A34"/>
    <w:rsid w:val="00667D6E"/>
    <w:rsid w:val="00670F54"/>
    <w:rsid w:val="00671946"/>
    <w:rsid w:val="00671983"/>
    <w:rsid w:val="00671A9A"/>
    <w:rsid w:val="006722E2"/>
    <w:rsid w:val="00672585"/>
    <w:rsid w:val="006729F8"/>
    <w:rsid w:val="00672F35"/>
    <w:rsid w:val="0067318B"/>
    <w:rsid w:val="006739FF"/>
    <w:rsid w:val="00673F48"/>
    <w:rsid w:val="00674469"/>
    <w:rsid w:val="0067474E"/>
    <w:rsid w:val="006747C1"/>
    <w:rsid w:val="006747D6"/>
    <w:rsid w:val="0067497E"/>
    <w:rsid w:val="00674CFD"/>
    <w:rsid w:val="00675C1D"/>
    <w:rsid w:val="006763A4"/>
    <w:rsid w:val="006763AF"/>
    <w:rsid w:val="006763F7"/>
    <w:rsid w:val="00676C87"/>
    <w:rsid w:val="006772D0"/>
    <w:rsid w:val="006777C2"/>
    <w:rsid w:val="00677AFD"/>
    <w:rsid w:val="006806C0"/>
    <w:rsid w:val="0068193C"/>
    <w:rsid w:val="00681AA4"/>
    <w:rsid w:val="00682355"/>
    <w:rsid w:val="006829AC"/>
    <w:rsid w:val="00682B83"/>
    <w:rsid w:val="00682DDB"/>
    <w:rsid w:val="0068378D"/>
    <w:rsid w:val="00683A82"/>
    <w:rsid w:val="00683C3E"/>
    <w:rsid w:val="00683D12"/>
    <w:rsid w:val="006847B8"/>
    <w:rsid w:val="00684E16"/>
    <w:rsid w:val="00684EFA"/>
    <w:rsid w:val="006852C0"/>
    <w:rsid w:val="006852D8"/>
    <w:rsid w:val="00685E75"/>
    <w:rsid w:val="00685FDD"/>
    <w:rsid w:val="006863EE"/>
    <w:rsid w:val="006872E5"/>
    <w:rsid w:val="006873B1"/>
    <w:rsid w:val="00687501"/>
    <w:rsid w:val="006877D6"/>
    <w:rsid w:val="006878C9"/>
    <w:rsid w:val="006901C6"/>
    <w:rsid w:val="00690A62"/>
    <w:rsid w:val="00690BDF"/>
    <w:rsid w:val="00690DB9"/>
    <w:rsid w:val="0069159B"/>
    <w:rsid w:val="0069198C"/>
    <w:rsid w:val="0069199E"/>
    <w:rsid w:val="00691B75"/>
    <w:rsid w:val="00692279"/>
    <w:rsid w:val="00692B2F"/>
    <w:rsid w:val="00692CF9"/>
    <w:rsid w:val="00692FB3"/>
    <w:rsid w:val="00692FE2"/>
    <w:rsid w:val="006930F5"/>
    <w:rsid w:val="0069323F"/>
    <w:rsid w:val="00693C27"/>
    <w:rsid w:val="00694495"/>
    <w:rsid w:val="006945A0"/>
    <w:rsid w:val="006945F7"/>
    <w:rsid w:val="006946A7"/>
    <w:rsid w:val="006946D9"/>
    <w:rsid w:val="00694D5E"/>
    <w:rsid w:val="00694DDE"/>
    <w:rsid w:val="0069521A"/>
    <w:rsid w:val="006959D0"/>
    <w:rsid w:val="00695DF2"/>
    <w:rsid w:val="00695E0C"/>
    <w:rsid w:val="006968C9"/>
    <w:rsid w:val="00696B76"/>
    <w:rsid w:val="00696C07"/>
    <w:rsid w:val="00697B63"/>
    <w:rsid w:val="006A0067"/>
    <w:rsid w:val="006A056B"/>
    <w:rsid w:val="006A0652"/>
    <w:rsid w:val="006A07BD"/>
    <w:rsid w:val="006A0B7A"/>
    <w:rsid w:val="006A237D"/>
    <w:rsid w:val="006A238B"/>
    <w:rsid w:val="006A2849"/>
    <w:rsid w:val="006A2A26"/>
    <w:rsid w:val="006A2C62"/>
    <w:rsid w:val="006A2EC9"/>
    <w:rsid w:val="006A2EE5"/>
    <w:rsid w:val="006A2EF1"/>
    <w:rsid w:val="006A35C5"/>
    <w:rsid w:val="006A3657"/>
    <w:rsid w:val="006A3972"/>
    <w:rsid w:val="006A4250"/>
    <w:rsid w:val="006A5E84"/>
    <w:rsid w:val="006A6102"/>
    <w:rsid w:val="006A64A1"/>
    <w:rsid w:val="006A6690"/>
    <w:rsid w:val="006A6802"/>
    <w:rsid w:val="006A72B6"/>
    <w:rsid w:val="006A7581"/>
    <w:rsid w:val="006A768F"/>
    <w:rsid w:val="006A779D"/>
    <w:rsid w:val="006A7F8C"/>
    <w:rsid w:val="006B0388"/>
    <w:rsid w:val="006B0752"/>
    <w:rsid w:val="006B19A7"/>
    <w:rsid w:val="006B1E10"/>
    <w:rsid w:val="006B2017"/>
    <w:rsid w:val="006B25A0"/>
    <w:rsid w:val="006B26B6"/>
    <w:rsid w:val="006B2789"/>
    <w:rsid w:val="006B2BD9"/>
    <w:rsid w:val="006B30FD"/>
    <w:rsid w:val="006B33A4"/>
    <w:rsid w:val="006B348A"/>
    <w:rsid w:val="006B3787"/>
    <w:rsid w:val="006B37FD"/>
    <w:rsid w:val="006B397F"/>
    <w:rsid w:val="006B3EF8"/>
    <w:rsid w:val="006B3FCD"/>
    <w:rsid w:val="006B525D"/>
    <w:rsid w:val="006B5EEA"/>
    <w:rsid w:val="006B5EF7"/>
    <w:rsid w:val="006B5F9E"/>
    <w:rsid w:val="006B6ABB"/>
    <w:rsid w:val="006C027A"/>
    <w:rsid w:val="006C0F0B"/>
    <w:rsid w:val="006C1505"/>
    <w:rsid w:val="006C1A47"/>
    <w:rsid w:val="006C1ACE"/>
    <w:rsid w:val="006C1AFF"/>
    <w:rsid w:val="006C1E2F"/>
    <w:rsid w:val="006C1E65"/>
    <w:rsid w:val="006C2613"/>
    <w:rsid w:val="006C291A"/>
    <w:rsid w:val="006C2E6E"/>
    <w:rsid w:val="006C3582"/>
    <w:rsid w:val="006C458F"/>
    <w:rsid w:val="006C47BE"/>
    <w:rsid w:val="006C5765"/>
    <w:rsid w:val="006C5DED"/>
    <w:rsid w:val="006C6098"/>
    <w:rsid w:val="006C6432"/>
    <w:rsid w:val="006C6722"/>
    <w:rsid w:val="006C6C36"/>
    <w:rsid w:val="006C71C8"/>
    <w:rsid w:val="006C736D"/>
    <w:rsid w:val="006C7864"/>
    <w:rsid w:val="006C7CDA"/>
    <w:rsid w:val="006D0457"/>
    <w:rsid w:val="006D0559"/>
    <w:rsid w:val="006D1A2D"/>
    <w:rsid w:val="006D1C47"/>
    <w:rsid w:val="006D2609"/>
    <w:rsid w:val="006D2E3F"/>
    <w:rsid w:val="006D309F"/>
    <w:rsid w:val="006D36C2"/>
    <w:rsid w:val="006D3839"/>
    <w:rsid w:val="006D387B"/>
    <w:rsid w:val="006D38E6"/>
    <w:rsid w:val="006D3B65"/>
    <w:rsid w:val="006D3C6D"/>
    <w:rsid w:val="006D3DC2"/>
    <w:rsid w:val="006D43D4"/>
    <w:rsid w:val="006D447E"/>
    <w:rsid w:val="006D45DF"/>
    <w:rsid w:val="006D580C"/>
    <w:rsid w:val="006D61AF"/>
    <w:rsid w:val="006D68C1"/>
    <w:rsid w:val="006D693A"/>
    <w:rsid w:val="006D6BCF"/>
    <w:rsid w:val="006D6E47"/>
    <w:rsid w:val="006D6F8F"/>
    <w:rsid w:val="006D6F9D"/>
    <w:rsid w:val="006D7211"/>
    <w:rsid w:val="006D741B"/>
    <w:rsid w:val="006D743D"/>
    <w:rsid w:val="006E0C7E"/>
    <w:rsid w:val="006E115F"/>
    <w:rsid w:val="006E16AF"/>
    <w:rsid w:val="006E1754"/>
    <w:rsid w:val="006E179A"/>
    <w:rsid w:val="006E1AB4"/>
    <w:rsid w:val="006E2842"/>
    <w:rsid w:val="006E33D4"/>
    <w:rsid w:val="006E3495"/>
    <w:rsid w:val="006E369D"/>
    <w:rsid w:val="006E377E"/>
    <w:rsid w:val="006E3D19"/>
    <w:rsid w:val="006E3E5E"/>
    <w:rsid w:val="006E442B"/>
    <w:rsid w:val="006E4592"/>
    <w:rsid w:val="006E4E28"/>
    <w:rsid w:val="006E51FD"/>
    <w:rsid w:val="006E5568"/>
    <w:rsid w:val="006E5944"/>
    <w:rsid w:val="006E5F17"/>
    <w:rsid w:val="006E6D0F"/>
    <w:rsid w:val="006E6E73"/>
    <w:rsid w:val="006E7016"/>
    <w:rsid w:val="006E7121"/>
    <w:rsid w:val="006E735B"/>
    <w:rsid w:val="006E7975"/>
    <w:rsid w:val="006E7ACA"/>
    <w:rsid w:val="006F00B3"/>
    <w:rsid w:val="006F05E2"/>
    <w:rsid w:val="006F092A"/>
    <w:rsid w:val="006F0DC3"/>
    <w:rsid w:val="006F1013"/>
    <w:rsid w:val="006F139B"/>
    <w:rsid w:val="006F15A0"/>
    <w:rsid w:val="006F17FD"/>
    <w:rsid w:val="006F195E"/>
    <w:rsid w:val="006F1A75"/>
    <w:rsid w:val="006F1D15"/>
    <w:rsid w:val="006F1F42"/>
    <w:rsid w:val="006F2002"/>
    <w:rsid w:val="006F2531"/>
    <w:rsid w:val="006F2729"/>
    <w:rsid w:val="006F2906"/>
    <w:rsid w:val="006F2DE7"/>
    <w:rsid w:val="006F2E44"/>
    <w:rsid w:val="006F3037"/>
    <w:rsid w:val="006F3429"/>
    <w:rsid w:val="006F3526"/>
    <w:rsid w:val="006F380E"/>
    <w:rsid w:val="006F4574"/>
    <w:rsid w:val="006F4812"/>
    <w:rsid w:val="006F48A5"/>
    <w:rsid w:val="006F4B07"/>
    <w:rsid w:val="006F4E54"/>
    <w:rsid w:val="006F4F0D"/>
    <w:rsid w:val="006F5E99"/>
    <w:rsid w:val="006F6632"/>
    <w:rsid w:val="006F66E0"/>
    <w:rsid w:val="006F6750"/>
    <w:rsid w:val="006F69EA"/>
    <w:rsid w:val="006F6ACE"/>
    <w:rsid w:val="006F6D08"/>
    <w:rsid w:val="006F74F4"/>
    <w:rsid w:val="006F7FBB"/>
    <w:rsid w:val="0070043B"/>
    <w:rsid w:val="0070099B"/>
    <w:rsid w:val="00700B87"/>
    <w:rsid w:val="00700C67"/>
    <w:rsid w:val="00703393"/>
    <w:rsid w:val="007034EA"/>
    <w:rsid w:val="00703B9A"/>
    <w:rsid w:val="0070449A"/>
    <w:rsid w:val="007044A6"/>
    <w:rsid w:val="00704729"/>
    <w:rsid w:val="007047FE"/>
    <w:rsid w:val="00705045"/>
    <w:rsid w:val="00705841"/>
    <w:rsid w:val="00705ADE"/>
    <w:rsid w:val="00706786"/>
    <w:rsid w:val="00706D24"/>
    <w:rsid w:val="00706D9D"/>
    <w:rsid w:val="00707584"/>
    <w:rsid w:val="00707658"/>
    <w:rsid w:val="007076CB"/>
    <w:rsid w:val="00710174"/>
    <w:rsid w:val="007101AF"/>
    <w:rsid w:val="007101EC"/>
    <w:rsid w:val="007108C3"/>
    <w:rsid w:val="00710B00"/>
    <w:rsid w:val="00710E89"/>
    <w:rsid w:val="007116A1"/>
    <w:rsid w:val="007117F6"/>
    <w:rsid w:val="0071180F"/>
    <w:rsid w:val="007126B2"/>
    <w:rsid w:val="00712F3C"/>
    <w:rsid w:val="00713169"/>
    <w:rsid w:val="007139C6"/>
    <w:rsid w:val="0071402E"/>
    <w:rsid w:val="00714C4F"/>
    <w:rsid w:val="00715507"/>
    <w:rsid w:val="007156C6"/>
    <w:rsid w:val="00715818"/>
    <w:rsid w:val="00715F5A"/>
    <w:rsid w:val="00715F65"/>
    <w:rsid w:val="007166A2"/>
    <w:rsid w:val="00716B77"/>
    <w:rsid w:val="0071753F"/>
    <w:rsid w:val="00717B92"/>
    <w:rsid w:val="007202AC"/>
    <w:rsid w:val="0072071F"/>
    <w:rsid w:val="007207A9"/>
    <w:rsid w:val="007208A9"/>
    <w:rsid w:val="00720A55"/>
    <w:rsid w:val="00720C23"/>
    <w:rsid w:val="00721203"/>
    <w:rsid w:val="007216ED"/>
    <w:rsid w:val="00723010"/>
    <w:rsid w:val="00723080"/>
    <w:rsid w:val="007233C4"/>
    <w:rsid w:val="007237B5"/>
    <w:rsid w:val="00723872"/>
    <w:rsid w:val="00723BC6"/>
    <w:rsid w:val="00724506"/>
    <w:rsid w:val="0072456C"/>
    <w:rsid w:val="00724CAA"/>
    <w:rsid w:val="00724D49"/>
    <w:rsid w:val="00725BBB"/>
    <w:rsid w:val="00726078"/>
    <w:rsid w:val="0072647A"/>
    <w:rsid w:val="007268D5"/>
    <w:rsid w:val="00726AAA"/>
    <w:rsid w:val="00726E38"/>
    <w:rsid w:val="00727E7D"/>
    <w:rsid w:val="00730313"/>
    <w:rsid w:val="00730611"/>
    <w:rsid w:val="00730619"/>
    <w:rsid w:val="00731972"/>
    <w:rsid w:val="007319D7"/>
    <w:rsid w:val="00731C3D"/>
    <w:rsid w:val="0073269F"/>
    <w:rsid w:val="00732B34"/>
    <w:rsid w:val="007332A9"/>
    <w:rsid w:val="00733AE3"/>
    <w:rsid w:val="00733F7A"/>
    <w:rsid w:val="00734075"/>
    <w:rsid w:val="0073474B"/>
    <w:rsid w:val="007349B6"/>
    <w:rsid w:val="00734D0E"/>
    <w:rsid w:val="007352F9"/>
    <w:rsid w:val="007356F8"/>
    <w:rsid w:val="00735870"/>
    <w:rsid w:val="007358D2"/>
    <w:rsid w:val="00735A7E"/>
    <w:rsid w:val="00735E4E"/>
    <w:rsid w:val="0073605F"/>
    <w:rsid w:val="00736D90"/>
    <w:rsid w:val="0073707D"/>
    <w:rsid w:val="00737169"/>
    <w:rsid w:val="00737D1F"/>
    <w:rsid w:val="00740B81"/>
    <w:rsid w:val="007417DD"/>
    <w:rsid w:val="00741943"/>
    <w:rsid w:val="00742184"/>
    <w:rsid w:val="007421C0"/>
    <w:rsid w:val="00742338"/>
    <w:rsid w:val="0074259C"/>
    <w:rsid w:val="00742FF1"/>
    <w:rsid w:val="00743177"/>
    <w:rsid w:val="00743754"/>
    <w:rsid w:val="00743801"/>
    <w:rsid w:val="007449A5"/>
    <w:rsid w:val="00744E35"/>
    <w:rsid w:val="00745989"/>
    <w:rsid w:val="007464CA"/>
    <w:rsid w:val="007469A9"/>
    <w:rsid w:val="00746AD2"/>
    <w:rsid w:val="00746E25"/>
    <w:rsid w:val="00747BB7"/>
    <w:rsid w:val="00747BF8"/>
    <w:rsid w:val="00750B81"/>
    <w:rsid w:val="00750BEB"/>
    <w:rsid w:val="0075120A"/>
    <w:rsid w:val="00751F1A"/>
    <w:rsid w:val="00751FA3"/>
    <w:rsid w:val="00752050"/>
    <w:rsid w:val="0075231D"/>
    <w:rsid w:val="00752394"/>
    <w:rsid w:val="00752480"/>
    <w:rsid w:val="0075362F"/>
    <w:rsid w:val="00753DE9"/>
    <w:rsid w:val="00754322"/>
    <w:rsid w:val="0075482F"/>
    <w:rsid w:val="00755C38"/>
    <w:rsid w:val="00755C68"/>
    <w:rsid w:val="00755EF6"/>
    <w:rsid w:val="00756143"/>
    <w:rsid w:val="0075636A"/>
    <w:rsid w:val="00756421"/>
    <w:rsid w:val="00756664"/>
    <w:rsid w:val="007568A3"/>
    <w:rsid w:val="007569C0"/>
    <w:rsid w:val="007574F7"/>
    <w:rsid w:val="00757D5E"/>
    <w:rsid w:val="0076034A"/>
    <w:rsid w:val="0076041E"/>
    <w:rsid w:val="00760421"/>
    <w:rsid w:val="0076050F"/>
    <w:rsid w:val="00760A5B"/>
    <w:rsid w:val="00761806"/>
    <w:rsid w:val="00761D98"/>
    <w:rsid w:val="00761EA1"/>
    <w:rsid w:val="007626BC"/>
    <w:rsid w:val="00762AEC"/>
    <w:rsid w:val="00762BA6"/>
    <w:rsid w:val="00762EC7"/>
    <w:rsid w:val="00762FB4"/>
    <w:rsid w:val="00763028"/>
    <w:rsid w:val="0076328D"/>
    <w:rsid w:val="00763492"/>
    <w:rsid w:val="007638A5"/>
    <w:rsid w:val="00764151"/>
    <w:rsid w:val="0076443D"/>
    <w:rsid w:val="007646BC"/>
    <w:rsid w:val="007664C0"/>
    <w:rsid w:val="00766811"/>
    <w:rsid w:val="0076683A"/>
    <w:rsid w:val="00766D2E"/>
    <w:rsid w:val="00767BBC"/>
    <w:rsid w:val="00767F39"/>
    <w:rsid w:val="00770487"/>
    <w:rsid w:val="0077102F"/>
    <w:rsid w:val="00771667"/>
    <w:rsid w:val="007716B9"/>
    <w:rsid w:val="007717CB"/>
    <w:rsid w:val="00771978"/>
    <w:rsid w:val="0077248D"/>
    <w:rsid w:val="00772696"/>
    <w:rsid w:val="00772C98"/>
    <w:rsid w:val="007735E4"/>
    <w:rsid w:val="0077388A"/>
    <w:rsid w:val="00774015"/>
    <w:rsid w:val="00774825"/>
    <w:rsid w:val="00774989"/>
    <w:rsid w:val="00774E41"/>
    <w:rsid w:val="0077567F"/>
    <w:rsid w:val="00775D7D"/>
    <w:rsid w:val="00776890"/>
    <w:rsid w:val="007776CF"/>
    <w:rsid w:val="00780506"/>
    <w:rsid w:val="00780597"/>
    <w:rsid w:val="007808C2"/>
    <w:rsid w:val="00780B48"/>
    <w:rsid w:val="00780E3B"/>
    <w:rsid w:val="00780EA7"/>
    <w:rsid w:val="0078184D"/>
    <w:rsid w:val="0078193A"/>
    <w:rsid w:val="00781BA5"/>
    <w:rsid w:val="00782050"/>
    <w:rsid w:val="00782800"/>
    <w:rsid w:val="00782C47"/>
    <w:rsid w:val="00783343"/>
    <w:rsid w:val="0078335B"/>
    <w:rsid w:val="00783988"/>
    <w:rsid w:val="00783BAC"/>
    <w:rsid w:val="00783FEE"/>
    <w:rsid w:val="007841CD"/>
    <w:rsid w:val="00785276"/>
    <w:rsid w:val="007854C4"/>
    <w:rsid w:val="00785510"/>
    <w:rsid w:val="007857A8"/>
    <w:rsid w:val="00786AE8"/>
    <w:rsid w:val="00786E37"/>
    <w:rsid w:val="00786E73"/>
    <w:rsid w:val="007872E3"/>
    <w:rsid w:val="00787371"/>
    <w:rsid w:val="007878E9"/>
    <w:rsid w:val="007903C2"/>
    <w:rsid w:val="00790447"/>
    <w:rsid w:val="00790687"/>
    <w:rsid w:val="0079084E"/>
    <w:rsid w:val="00791316"/>
    <w:rsid w:val="00791750"/>
    <w:rsid w:val="007917AF"/>
    <w:rsid w:val="00791E12"/>
    <w:rsid w:val="00791F46"/>
    <w:rsid w:val="0079231A"/>
    <w:rsid w:val="00792482"/>
    <w:rsid w:val="00793028"/>
    <w:rsid w:val="007932CC"/>
    <w:rsid w:val="007933F7"/>
    <w:rsid w:val="00793848"/>
    <w:rsid w:val="00794ABC"/>
    <w:rsid w:val="00794D52"/>
    <w:rsid w:val="007959A7"/>
    <w:rsid w:val="00795BEE"/>
    <w:rsid w:val="0079653D"/>
    <w:rsid w:val="00796540"/>
    <w:rsid w:val="007966A6"/>
    <w:rsid w:val="00796D7D"/>
    <w:rsid w:val="007973A1"/>
    <w:rsid w:val="00797423"/>
    <w:rsid w:val="007979D1"/>
    <w:rsid w:val="00797C20"/>
    <w:rsid w:val="007A1862"/>
    <w:rsid w:val="007A195C"/>
    <w:rsid w:val="007A1CDD"/>
    <w:rsid w:val="007A210A"/>
    <w:rsid w:val="007A260F"/>
    <w:rsid w:val="007A27D1"/>
    <w:rsid w:val="007A27FD"/>
    <w:rsid w:val="007A2991"/>
    <w:rsid w:val="007A2A42"/>
    <w:rsid w:val="007A3209"/>
    <w:rsid w:val="007A37E3"/>
    <w:rsid w:val="007A3894"/>
    <w:rsid w:val="007A489F"/>
    <w:rsid w:val="007A4B52"/>
    <w:rsid w:val="007A538F"/>
    <w:rsid w:val="007A67C6"/>
    <w:rsid w:val="007A79A5"/>
    <w:rsid w:val="007B028A"/>
    <w:rsid w:val="007B0364"/>
    <w:rsid w:val="007B0795"/>
    <w:rsid w:val="007B07BA"/>
    <w:rsid w:val="007B088D"/>
    <w:rsid w:val="007B0F42"/>
    <w:rsid w:val="007B0F97"/>
    <w:rsid w:val="007B247A"/>
    <w:rsid w:val="007B2848"/>
    <w:rsid w:val="007B2927"/>
    <w:rsid w:val="007B2DD4"/>
    <w:rsid w:val="007B305D"/>
    <w:rsid w:val="007B3C34"/>
    <w:rsid w:val="007B4AFB"/>
    <w:rsid w:val="007B52A8"/>
    <w:rsid w:val="007B5BF6"/>
    <w:rsid w:val="007B5C1B"/>
    <w:rsid w:val="007B5EDB"/>
    <w:rsid w:val="007B68A1"/>
    <w:rsid w:val="007B735A"/>
    <w:rsid w:val="007B7388"/>
    <w:rsid w:val="007B791A"/>
    <w:rsid w:val="007C00A6"/>
    <w:rsid w:val="007C05C6"/>
    <w:rsid w:val="007C0AA2"/>
    <w:rsid w:val="007C0B89"/>
    <w:rsid w:val="007C14A1"/>
    <w:rsid w:val="007C1F67"/>
    <w:rsid w:val="007C2AB9"/>
    <w:rsid w:val="007C2BD3"/>
    <w:rsid w:val="007C2D97"/>
    <w:rsid w:val="007C31E5"/>
    <w:rsid w:val="007C3562"/>
    <w:rsid w:val="007C3566"/>
    <w:rsid w:val="007C4E11"/>
    <w:rsid w:val="007C5569"/>
    <w:rsid w:val="007C615E"/>
    <w:rsid w:val="007C6298"/>
    <w:rsid w:val="007C6465"/>
    <w:rsid w:val="007C6CEB"/>
    <w:rsid w:val="007C708B"/>
    <w:rsid w:val="007C7117"/>
    <w:rsid w:val="007C7181"/>
    <w:rsid w:val="007C7AAF"/>
    <w:rsid w:val="007C7E1D"/>
    <w:rsid w:val="007D0342"/>
    <w:rsid w:val="007D09F2"/>
    <w:rsid w:val="007D0DAE"/>
    <w:rsid w:val="007D0DBD"/>
    <w:rsid w:val="007D14C5"/>
    <w:rsid w:val="007D14D2"/>
    <w:rsid w:val="007D1CA1"/>
    <w:rsid w:val="007D225F"/>
    <w:rsid w:val="007D273E"/>
    <w:rsid w:val="007D2895"/>
    <w:rsid w:val="007D2A6E"/>
    <w:rsid w:val="007D340E"/>
    <w:rsid w:val="007D3D3E"/>
    <w:rsid w:val="007D3DD5"/>
    <w:rsid w:val="007D40A6"/>
    <w:rsid w:val="007D4191"/>
    <w:rsid w:val="007D44FF"/>
    <w:rsid w:val="007D4A11"/>
    <w:rsid w:val="007D4F84"/>
    <w:rsid w:val="007D5271"/>
    <w:rsid w:val="007D5A7D"/>
    <w:rsid w:val="007D5B32"/>
    <w:rsid w:val="007D5FE7"/>
    <w:rsid w:val="007D6278"/>
    <w:rsid w:val="007D6298"/>
    <w:rsid w:val="007D62B6"/>
    <w:rsid w:val="007D62E6"/>
    <w:rsid w:val="007D63BA"/>
    <w:rsid w:val="007D68A0"/>
    <w:rsid w:val="007D69CB"/>
    <w:rsid w:val="007D6F01"/>
    <w:rsid w:val="007D7034"/>
    <w:rsid w:val="007D703D"/>
    <w:rsid w:val="007D7C6E"/>
    <w:rsid w:val="007D7F5B"/>
    <w:rsid w:val="007E098D"/>
    <w:rsid w:val="007E0A95"/>
    <w:rsid w:val="007E0D17"/>
    <w:rsid w:val="007E1007"/>
    <w:rsid w:val="007E1AAD"/>
    <w:rsid w:val="007E1B02"/>
    <w:rsid w:val="007E1B67"/>
    <w:rsid w:val="007E211B"/>
    <w:rsid w:val="007E2166"/>
    <w:rsid w:val="007E230E"/>
    <w:rsid w:val="007E2ADC"/>
    <w:rsid w:val="007E36E8"/>
    <w:rsid w:val="007E3B93"/>
    <w:rsid w:val="007E454B"/>
    <w:rsid w:val="007E5AFB"/>
    <w:rsid w:val="007E5C7A"/>
    <w:rsid w:val="007E635E"/>
    <w:rsid w:val="007E6937"/>
    <w:rsid w:val="007E734A"/>
    <w:rsid w:val="007E793B"/>
    <w:rsid w:val="007E7E99"/>
    <w:rsid w:val="007F014A"/>
    <w:rsid w:val="007F04E9"/>
    <w:rsid w:val="007F0A08"/>
    <w:rsid w:val="007F0F77"/>
    <w:rsid w:val="007F122A"/>
    <w:rsid w:val="007F1324"/>
    <w:rsid w:val="007F1BF9"/>
    <w:rsid w:val="007F20BE"/>
    <w:rsid w:val="007F2943"/>
    <w:rsid w:val="007F2A7A"/>
    <w:rsid w:val="007F2B05"/>
    <w:rsid w:val="007F2BBB"/>
    <w:rsid w:val="007F314D"/>
    <w:rsid w:val="007F3833"/>
    <w:rsid w:val="007F3F11"/>
    <w:rsid w:val="007F4927"/>
    <w:rsid w:val="007F4956"/>
    <w:rsid w:val="007F4B59"/>
    <w:rsid w:val="007F5146"/>
    <w:rsid w:val="007F536E"/>
    <w:rsid w:val="007F5A10"/>
    <w:rsid w:val="007F62BE"/>
    <w:rsid w:val="007F6678"/>
    <w:rsid w:val="007F6AC7"/>
    <w:rsid w:val="007F7503"/>
    <w:rsid w:val="007F7704"/>
    <w:rsid w:val="007F7F7C"/>
    <w:rsid w:val="008001FC"/>
    <w:rsid w:val="0080076C"/>
    <w:rsid w:val="008015F8"/>
    <w:rsid w:val="00801D3C"/>
    <w:rsid w:val="00803211"/>
    <w:rsid w:val="00803314"/>
    <w:rsid w:val="00803387"/>
    <w:rsid w:val="00803549"/>
    <w:rsid w:val="00803E9B"/>
    <w:rsid w:val="008040EC"/>
    <w:rsid w:val="00804FCB"/>
    <w:rsid w:val="00805490"/>
    <w:rsid w:val="008056F9"/>
    <w:rsid w:val="008059CD"/>
    <w:rsid w:val="00805EAA"/>
    <w:rsid w:val="008064DE"/>
    <w:rsid w:val="00806995"/>
    <w:rsid w:val="00806B75"/>
    <w:rsid w:val="00807146"/>
    <w:rsid w:val="008072FC"/>
    <w:rsid w:val="008106B2"/>
    <w:rsid w:val="00810CE8"/>
    <w:rsid w:val="00810D01"/>
    <w:rsid w:val="008110F6"/>
    <w:rsid w:val="00811258"/>
    <w:rsid w:val="008113E6"/>
    <w:rsid w:val="00811513"/>
    <w:rsid w:val="00811E4D"/>
    <w:rsid w:val="00812C43"/>
    <w:rsid w:val="00812F96"/>
    <w:rsid w:val="00813169"/>
    <w:rsid w:val="008132CB"/>
    <w:rsid w:val="00813315"/>
    <w:rsid w:val="008139F9"/>
    <w:rsid w:val="00813A55"/>
    <w:rsid w:val="00813FBC"/>
    <w:rsid w:val="00814357"/>
    <w:rsid w:val="00814AF3"/>
    <w:rsid w:val="008156A8"/>
    <w:rsid w:val="0081611E"/>
    <w:rsid w:val="008162A9"/>
    <w:rsid w:val="008168C0"/>
    <w:rsid w:val="00816B4E"/>
    <w:rsid w:val="00817167"/>
    <w:rsid w:val="00817517"/>
    <w:rsid w:val="00817720"/>
    <w:rsid w:val="0081793A"/>
    <w:rsid w:val="00817F7B"/>
    <w:rsid w:val="0082001C"/>
    <w:rsid w:val="00820CFA"/>
    <w:rsid w:val="00820FE2"/>
    <w:rsid w:val="00821848"/>
    <w:rsid w:val="00821B08"/>
    <w:rsid w:val="00821BE0"/>
    <w:rsid w:val="00821F71"/>
    <w:rsid w:val="00822421"/>
    <w:rsid w:val="00822A07"/>
    <w:rsid w:val="008232E4"/>
    <w:rsid w:val="008234FF"/>
    <w:rsid w:val="00823522"/>
    <w:rsid w:val="00823683"/>
    <w:rsid w:val="00823A0A"/>
    <w:rsid w:val="00823AFA"/>
    <w:rsid w:val="00823B12"/>
    <w:rsid w:val="00823CBD"/>
    <w:rsid w:val="00823F5A"/>
    <w:rsid w:val="00823FD1"/>
    <w:rsid w:val="00825686"/>
    <w:rsid w:val="008258CE"/>
    <w:rsid w:val="00825CD4"/>
    <w:rsid w:val="00825D81"/>
    <w:rsid w:val="00825FF8"/>
    <w:rsid w:val="00826254"/>
    <w:rsid w:val="00826DF3"/>
    <w:rsid w:val="008272EB"/>
    <w:rsid w:val="0082787F"/>
    <w:rsid w:val="008278D5"/>
    <w:rsid w:val="0083055C"/>
    <w:rsid w:val="00831201"/>
    <w:rsid w:val="00831252"/>
    <w:rsid w:val="0083196E"/>
    <w:rsid w:val="00832321"/>
    <w:rsid w:val="0083286F"/>
    <w:rsid w:val="008329D9"/>
    <w:rsid w:val="00832F73"/>
    <w:rsid w:val="008331A5"/>
    <w:rsid w:val="00833E25"/>
    <w:rsid w:val="00834199"/>
    <w:rsid w:val="008342CC"/>
    <w:rsid w:val="00834C70"/>
    <w:rsid w:val="0083521C"/>
    <w:rsid w:val="00835704"/>
    <w:rsid w:val="008359FE"/>
    <w:rsid w:val="00835DF1"/>
    <w:rsid w:val="00836889"/>
    <w:rsid w:val="00836EA9"/>
    <w:rsid w:val="0083768D"/>
    <w:rsid w:val="00837D31"/>
    <w:rsid w:val="008402F7"/>
    <w:rsid w:val="00840698"/>
    <w:rsid w:val="00840A4D"/>
    <w:rsid w:val="00840E55"/>
    <w:rsid w:val="00841078"/>
    <w:rsid w:val="00841456"/>
    <w:rsid w:val="00841890"/>
    <w:rsid w:val="00841ACA"/>
    <w:rsid w:val="00841B0F"/>
    <w:rsid w:val="008422AF"/>
    <w:rsid w:val="00842498"/>
    <w:rsid w:val="00842A67"/>
    <w:rsid w:val="00842A71"/>
    <w:rsid w:val="00842FF0"/>
    <w:rsid w:val="0084390A"/>
    <w:rsid w:val="00843B59"/>
    <w:rsid w:val="0084488C"/>
    <w:rsid w:val="00844E32"/>
    <w:rsid w:val="00846190"/>
    <w:rsid w:val="008465E5"/>
    <w:rsid w:val="00846601"/>
    <w:rsid w:val="00846988"/>
    <w:rsid w:val="00846D8A"/>
    <w:rsid w:val="008470C1"/>
    <w:rsid w:val="008476D5"/>
    <w:rsid w:val="00850A0C"/>
    <w:rsid w:val="00851BC1"/>
    <w:rsid w:val="0085286B"/>
    <w:rsid w:val="0085296F"/>
    <w:rsid w:val="00852FD6"/>
    <w:rsid w:val="00853474"/>
    <w:rsid w:val="0085352A"/>
    <w:rsid w:val="008535E0"/>
    <w:rsid w:val="0085379D"/>
    <w:rsid w:val="00853ADE"/>
    <w:rsid w:val="00854585"/>
    <w:rsid w:val="008549CD"/>
    <w:rsid w:val="00854A76"/>
    <w:rsid w:val="00854ADC"/>
    <w:rsid w:val="00854F6A"/>
    <w:rsid w:val="00855BA7"/>
    <w:rsid w:val="00855C0B"/>
    <w:rsid w:val="0085638A"/>
    <w:rsid w:val="00856823"/>
    <w:rsid w:val="00856AFD"/>
    <w:rsid w:val="0085744D"/>
    <w:rsid w:val="00857487"/>
    <w:rsid w:val="008574E5"/>
    <w:rsid w:val="008604AE"/>
    <w:rsid w:val="008609A9"/>
    <w:rsid w:val="00860B65"/>
    <w:rsid w:val="00860D6C"/>
    <w:rsid w:val="00861B62"/>
    <w:rsid w:val="00861FA3"/>
    <w:rsid w:val="0086267A"/>
    <w:rsid w:val="00862ABA"/>
    <w:rsid w:val="00862D10"/>
    <w:rsid w:val="00862D11"/>
    <w:rsid w:val="0086302E"/>
    <w:rsid w:val="00863049"/>
    <w:rsid w:val="00863474"/>
    <w:rsid w:val="008635E9"/>
    <w:rsid w:val="00864651"/>
    <w:rsid w:val="00864AB8"/>
    <w:rsid w:val="00864D19"/>
    <w:rsid w:val="00864F50"/>
    <w:rsid w:val="00864F80"/>
    <w:rsid w:val="008651CC"/>
    <w:rsid w:val="008651F0"/>
    <w:rsid w:val="0086590B"/>
    <w:rsid w:val="00865E86"/>
    <w:rsid w:val="00866BAB"/>
    <w:rsid w:val="00867423"/>
    <w:rsid w:val="00867558"/>
    <w:rsid w:val="00867605"/>
    <w:rsid w:val="00867AC5"/>
    <w:rsid w:val="00867B99"/>
    <w:rsid w:val="00870BD6"/>
    <w:rsid w:val="00870C92"/>
    <w:rsid w:val="00871270"/>
    <w:rsid w:val="00871B7D"/>
    <w:rsid w:val="00871CAD"/>
    <w:rsid w:val="00872D31"/>
    <w:rsid w:val="00872EA5"/>
    <w:rsid w:val="008730F0"/>
    <w:rsid w:val="0087347B"/>
    <w:rsid w:val="00874A0D"/>
    <w:rsid w:val="00874CBC"/>
    <w:rsid w:val="0087519A"/>
    <w:rsid w:val="00875488"/>
    <w:rsid w:val="008755EB"/>
    <w:rsid w:val="00875877"/>
    <w:rsid w:val="008761D7"/>
    <w:rsid w:val="00876882"/>
    <w:rsid w:val="00876E58"/>
    <w:rsid w:val="00877F80"/>
    <w:rsid w:val="00877FCD"/>
    <w:rsid w:val="00881970"/>
    <w:rsid w:val="008824D9"/>
    <w:rsid w:val="00882885"/>
    <w:rsid w:val="00882C4E"/>
    <w:rsid w:val="00882EC3"/>
    <w:rsid w:val="00882FF4"/>
    <w:rsid w:val="008834E1"/>
    <w:rsid w:val="00883674"/>
    <w:rsid w:val="00883A18"/>
    <w:rsid w:val="00883C6E"/>
    <w:rsid w:val="00883F1C"/>
    <w:rsid w:val="00884051"/>
    <w:rsid w:val="008845FE"/>
    <w:rsid w:val="00884835"/>
    <w:rsid w:val="00884963"/>
    <w:rsid w:val="00886012"/>
    <w:rsid w:val="00886014"/>
    <w:rsid w:val="00886647"/>
    <w:rsid w:val="00886788"/>
    <w:rsid w:val="00886DDB"/>
    <w:rsid w:val="00887CCB"/>
    <w:rsid w:val="00887EBA"/>
    <w:rsid w:val="00890227"/>
    <w:rsid w:val="00890677"/>
    <w:rsid w:val="00890A72"/>
    <w:rsid w:val="00890EAC"/>
    <w:rsid w:val="00891250"/>
    <w:rsid w:val="008918D1"/>
    <w:rsid w:val="00891E78"/>
    <w:rsid w:val="00892069"/>
    <w:rsid w:val="00892128"/>
    <w:rsid w:val="008923A5"/>
    <w:rsid w:val="00892A25"/>
    <w:rsid w:val="00893E5C"/>
    <w:rsid w:val="008946A2"/>
    <w:rsid w:val="008948A2"/>
    <w:rsid w:val="0089533A"/>
    <w:rsid w:val="008958C0"/>
    <w:rsid w:val="00896292"/>
    <w:rsid w:val="00896EC7"/>
    <w:rsid w:val="00897242"/>
    <w:rsid w:val="00897B56"/>
    <w:rsid w:val="00897DBB"/>
    <w:rsid w:val="00897E04"/>
    <w:rsid w:val="008A0C88"/>
    <w:rsid w:val="008A11AE"/>
    <w:rsid w:val="008A15AB"/>
    <w:rsid w:val="008A16DC"/>
    <w:rsid w:val="008A24D7"/>
    <w:rsid w:val="008A2A41"/>
    <w:rsid w:val="008A31EF"/>
    <w:rsid w:val="008A36D6"/>
    <w:rsid w:val="008A40A1"/>
    <w:rsid w:val="008A4460"/>
    <w:rsid w:val="008A4557"/>
    <w:rsid w:val="008A4D04"/>
    <w:rsid w:val="008A6787"/>
    <w:rsid w:val="008A6C0E"/>
    <w:rsid w:val="008A74F2"/>
    <w:rsid w:val="008B01D5"/>
    <w:rsid w:val="008B0A86"/>
    <w:rsid w:val="008B10BC"/>
    <w:rsid w:val="008B1745"/>
    <w:rsid w:val="008B18F1"/>
    <w:rsid w:val="008B3197"/>
    <w:rsid w:val="008B36AB"/>
    <w:rsid w:val="008B4C64"/>
    <w:rsid w:val="008B4DB2"/>
    <w:rsid w:val="008B4E09"/>
    <w:rsid w:val="008B4F95"/>
    <w:rsid w:val="008B55FB"/>
    <w:rsid w:val="008B658D"/>
    <w:rsid w:val="008B6C02"/>
    <w:rsid w:val="008B6F8B"/>
    <w:rsid w:val="008B766A"/>
    <w:rsid w:val="008B790A"/>
    <w:rsid w:val="008C07E0"/>
    <w:rsid w:val="008C11B0"/>
    <w:rsid w:val="008C1415"/>
    <w:rsid w:val="008C2B0B"/>
    <w:rsid w:val="008C3265"/>
    <w:rsid w:val="008C36EF"/>
    <w:rsid w:val="008C37E7"/>
    <w:rsid w:val="008C3D61"/>
    <w:rsid w:val="008C3D8E"/>
    <w:rsid w:val="008C3EEF"/>
    <w:rsid w:val="008C431C"/>
    <w:rsid w:val="008C44F3"/>
    <w:rsid w:val="008C61F9"/>
    <w:rsid w:val="008C633B"/>
    <w:rsid w:val="008C6D0D"/>
    <w:rsid w:val="008C76F4"/>
    <w:rsid w:val="008C7E46"/>
    <w:rsid w:val="008D0147"/>
    <w:rsid w:val="008D0F06"/>
    <w:rsid w:val="008D1C3F"/>
    <w:rsid w:val="008D1F62"/>
    <w:rsid w:val="008D2833"/>
    <w:rsid w:val="008D2BF3"/>
    <w:rsid w:val="008D2E20"/>
    <w:rsid w:val="008D31FB"/>
    <w:rsid w:val="008D3568"/>
    <w:rsid w:val="008D3923"/>
    <w:rsid w:val="008D3BB3"/>
    <w:rsid w:val="008D42D7"/>
    <w:rsid w:val="008D44D1"/>
    <w:rsid w:val="008D4AE1"/>
    <w:rsid w:val="008D4CE0"/>
    <w:rsid w:val="008D4EF3"/>
    <w:rsid w:val="008D4F82"/>
    <w:rsid w:val="008D5538"/>
    <w:rsid w:val="008D5C70"/>
    <w:rsid w:val="008D67ED"/>
    <w:rsid w:val="008D69F3"/>
    <w:rsid w:val="008D6AD9"/>
    <w:rsid w:val="008D6BC5"/>
    <w:rsid w:val="008D6E11"/>
    <w:rsid w:val="008D73C3"/>
    <w:rsid w:val="008D7DE6"/>
    <w:rsid w:val="008E00C1"/>
    <w:rsid w:val="008E0368"/>
    <w:rsid w:val="008E093A"/>
    <w:rsid w:val="008E0CA7"/>
    <w:rsid w:val="008E0E29"/>
    <w:rsid w:val="008E0EBD"/>
    <w:rsid w:val="008E1832"/>
    <w:rsid w:val="008E1C25"/>
    <w:rsid w:val="008E2071"/>
    <w:rsid w:val="008E240A"/>
    <w:rsid w:val="008E2537"/>
    <w:rsid w:val="008E3868"/>
    <w:rsid w:val="008E3B38"/>
    <w:rsid w:val="008E3B55"/>
    <w:rsid w:val="008E3EDB"/>
    <w:rsid w:val="008E49C4"/>
    <w:rsid w:val="008E4C8E"/>
    <w:rsid w:val="008E5109"/>
    <w:rsid w:val="008E51DE"/>
    <w:rsid w:val="008E5E14"/>
    <w:rsid w:val="008E5E84"/>
    <w:rsid w:val="008E5F5C"/>
    <w:rsid w:val="008E64E7"/>
    <w:rsid w:val="008E6FA9"/>
    <w:rsid w:val="008E71E1"/>
    <w:rsid w:val="008E75B5"/>
    <w:rsid w:val="008E7DAD"/>
    <w:rsid w:val="008E7EB0"/>
    <w:rsid w:val="008F04F2"/>
    <w:rsid w:val="008F12F6"/>
    <w:rsid w:val="008F135E"/>
    <w:rsid w:val="008F15D7"/>
    <w:rsid w:val="008F1D01"/>
    <w:rsid w:val="008F20C5"/>
    <w:rsid w:val="008F2152"/>
    <w:rsid w:val="008F48B6"/>
    <w:rsid w:val="008F56AC"/>
    <w:rsid w:val="008F5A2F"/>
    <w:rsid w:val="008F5B08"/>
    <w:rsid w:val="008F6BF0"/>
    <w:rsid w:val="008F6E42"/>
    <w:rsid w:val="008F6E5B"/>
    <w:rsid w:val="008F71A3"/>
    <w:rsid w:val="008F74A0"/>
    <w:rsid w:val="008F7633"/>
    <w:rsid w:val="008F7A1D"/>
    <w:rsid w:val="008F7FAA"/>
    <w:rsid w:val="008F7FCD"/>
    <w:rsid w:val="00900583"/>
    <w:rsid w:val="0090097B"/>
    <w:rsid w:val="00900B35"/>
    <w:rsid w:val="0090122D"/>
    <w:rsid w:val="00901241"/>
    <w:rsid w:val="009013AC"/>
    <w:rsid w:val="00901651"/>
    <w:rsid w:val="00901A45"/>
    <w:rsid w:val="00901D03"/>
    <w:rsid w:val="00901FCD"/>
    <w:rsid w:val="00902570"/>
    <w:rsid w:val="00902F8E"/>
    <w:rsid w:val="0090404D"/>
    <w:rsid w:val="0090424C"/>
    <w:rsid w:val="00904306"/>
    <w:rsid w:val="009049C6"/>
    <w:rsid w:val="00905017"/>
    <w:rsid w:val="00905BE9"/>
    <w:rsid w:val="00905C9B"/>
    <w:rsid w:val="00906003"/>
    <w:rsid w:val="009066D3"/>
    <w:rsid w:val="0090693F"/>
    <w:rsid w:val="00906A4D"/>
    <w:rsid w:val="00906B22"/>
    <w:rsid w:val="00906D31"/>
    <w:rsid w:val="009070BC"/>
    <w:rsid w:val="00907618"/>
    <w:rsid w:val="009076B6"/>
    <w:rsid w:val="009076C2"/>
    <w:rsid w:val="00907FF5"/>
    <w:rsid w:val="009102C4"/>
    <w:rsid w:val="0091036D"/>
    <w:rsid w:val="0091038D"/>
    <w:rsid w:val="009103E2"/>
    <w:rsid w:val="00910B3C"/>
    <w:rsid w:val="009124FA"/>
    <w:rsid w:val="00912C26"/>
    <w:rsid w:val="009132D4"/>
    <w:rsid w:val="00913488"/>
    <w:rsid w:val="0091390A"/>
    <w:rsid w:val="00914358"/>
    <w:rsid w:val="0091498D"/>
    <w:rsid w:val="009156E9"/>
    <w:rsid w:val="00915845"/>
    <w:rsid w:val="00915A47"/>
    <w:rsid w:val="009163DC"/>
    <w:rsid w:val="009165D2"/>
    <w:rsid w:val="009203CB"/>
    <w:rsid w:val="009206CA"/>
    <w:rsid w:val="00920739"/>
    <w:rsid w:val="00920A5F"/>
    <w:rsid w:val="00920C0D"/>
    <w:rsid w:val="009210B9"/>
    <w:rsid w:val="0092120A"/>
    <w:rsid w:val="00921566"/>
    <w:rsid w:val="00921574"/>
    <w:rsid w:val="00921EDE"/>
    <w:rsid w:val="00922090"/>
    <w:rsid w:val="0092279A"/>
    <w:rsid w:val="00923955"/>
    <w:rsid w:val="00923B61"/>
    <w:rsid w:val="00923CB9"/>
    <w:rsid w:val="00924D2C"/>
    <w:rsid w:val="0092510F"/>
    <w:rsid w:val="0092514D"/>
    <w:rsid w:val="00925A65"/>
    <w:rsid w:val="00926103"/>
    <w:rsid w:val="0092613B"/>
    <w:rsid w:val="009261B7"/>
    <w:rsid w:val="00927B19"/>
    <w:rsid w:val="00927B79"/>
    <w:rsid w:val="00927DE0"/>
    <w:rsid w:val="00927F6A"/>
    <w:rsid w:val="00930094"/>
    <w:rsid w:val="009300E6"/>
    <w:rsid w:val="009302EF"/>
    <w:rsid w:val="009303A4"/>
    <w:rsid w:val="00930938"/>
    <w:rsid w:val="00931031"/>
    <w:rsid w:val="009319DD"/>
    <w:rsid w:val="0093225A"/>
    <w:rsid w:val="00932A00"/>
    <w:rsid w:val="0093308D"/>
    <w:rsid w:val="00933252"/>
    <w:rsid w:val="009334A3"/>
    <w:rsid w:val="0093397D"/>
    <w:rsid w:val="00933F55"/>
    <w:rsid w:val="0093421A"/>
    <w:rsid w:val="0093445F"/>
    <w:rsid w:val="00934466"/>
    <w:rsid w:val="0093467E"/>
    <w:rsid w:val="00934976"/>
    <w:rsid w:val="00934A45"/>
    <w:rsid w:val="009352BC"/>
    <w:rsid w:val="0093544E"/>
    <w:rsid w:val="0093558F"/>
    <w:rsid w:val="00935C3C"/>
    <w:rsid w:val="00935CBB"/>
    <w:rsid w:val="00935D76"/>
    <w:rsid w:val="00935FDD"/>
    <w:rsid w:val="00936BFF"/>
    <w:rsid w:val="00936C4C"/>
    <w:rsid w:val="00936CB4"/>
    <w:rsid w:val="009371BD"/>
    <w:rsid w:val="00937A90"/>
    <w:rsid w:val="00937B8E"/>
    <w:rsid w:val="0094063B"/>
    <w:rsid w:val="00940767"/>
    <w:rsid w:val="0094080F"/>
    <w:rsid w:val="00941203"/>
    <w:rsid w:val="00941314"/>
    <w:rsid w:val="009414FA"/>
    <w:rsid w:val="0094194D"/>
    <w:rsid w:val="00942D1D"/>
    <w:rsid w:val="009434B4"/>
    <w:rsid w:val="0094369C"/>
    <w:rsid w:val="00943DC0"/>
    <w:rsid w:val="00943EBF"/>
    <w:rsid w:val="00944141"/>
    <w:rsid w:val="009445AC"/>
    <w:rsid w:val="00944873"/>
    <w:rsid w:val="00944CF3"/>
    <w:rsid w:val="009454CF"/>
    <w:rsid w:val="0094605F"/>
    <w:rsid w:val="00946153"/>
    <w:rsid w:val="00946FC5"/>
    <w:rsid w:val="00947017"/>
    <w:rsid w:val="0095030C"/>
    <w:rsid w:val="0095148E"/>
    <w:rsid w:val="009514FA"/>
    <w:rsid w:val="009515AB"/>
    <w:rsid w:val="00951674"/>
    <w:rsid w:val="00951873"/>
    <w:rsid w:val="009519F3"/>
    <w:rsid w:val="00951C61"/>
    <w:rsid w:val="00951D97"/>
    <w:rsid w:val="009520D7"/>
    <w:rsid w:val="00952906"/>
    <w:rsid w:val="009537D6"/>
    <w:rsid w:val="00953C4A"/>
    <w:rsid w:val="00953D7F"/>
    <w:rsid w:val="00954420"/>
    <w:rsid w:val="0095573B"/>
    <w:rsid w:val="00955EAE"/>
    <w:rsid w:val="009565E2"/>
    <w:rsid w:val="00956850"/>
    <w:rsid w:val="009569C9"/>
    <w:rsid w:val="00956B83"/>
    <w:rsid w:val="00956C9E"/>
    <w:rsid w:val="00956D79"/>
    <w:rsid w:val="0095702D"/>
    <w:rsid w:val="00957E80"/>
    <w:rsid w:val="00960DCC"/>
    <w:rsid w:val="009612D1"/>
    <w:rsid w:val="009613C8"/>
    <w:rsid w:val="009614F3"/>
    <w:rsid w:val="00961EF2"/>
    <w:rsid w:val="00963D15"/>
    <w:rsid w:val="0096416C"/>
    <w:rsid w:val="009647C8"/>
    <w:rsid w:val="00964862"/>
    <w:rsid w:val="009651CA"/>
    <w:rsid w:val="0096547A"/>
    <w:rsid w:val="0096577E"/>
    <w:rsid w:val="00965CC5"/>
    <w:rsid w:val="009664E9"/>
    <w:rsid w:val="00966BED"/>
    <w:rsid w:val="00966F91"/>
    <w:rsid w:val="009675BE"/>
    <w:rsid w:val="00967F34"/>
    <w:rsid w:val="00970022"/>
    <w:rsid w:val="00970D85"/>
    <w:rsid w:val="00970FA2"/>
    <w:rsid w:val="0097100F"/>
    <w:rsid w:val="009727F3"/>
    <w:rsid w:val="00972E50"/>
    <w:rsid w:val="009731D1"/>
    <w:rsid w:val="00973B02"/>
    <w:rsid w:val="00973D39"/>
    <w:rsid w:val="00973E5D"/>
    <w:rsid w:val="00974354"/>
    <w:rsid w:val="0097451E"/>
    <w:rsid w:val="0097474E"/>
    <w:rsid w:val="0097538A"/>
    <w:rsid w:val="009753C5"/>
    <w:rsid w:val="00975A4D"/>
    <w:rsid w:val="00975DC5"/>
    <w:rsid w:val="0097642C"/>
    <w:rsid w:val="00980642"/>
    <w:rsid w:val="00980DBE"/>
    <w:rsid w:val="00980FDC"/>
    <w:rsid w:val="009817CC"/>
    <w:rsid w:val="00981BD5"/>
    <w:rsid w:val="00981E35"/>
    <w:rsid w:val="00982391"/>
    <w:rsid w:val="00982707"/>
    <w:rsid w:val="00982B3D"/>
    <w:rsid w:val="00982EB9"/>
    <w:rsid w:val="0098309B"/>
    <w:rsid w:val="00983D40"/>
    <w:rsid w:val="00983E95"/>
    <w:rsid w:val="00984006"/>
    <w:rsid w:val="009841EC"/>
    <w:rsid w:val="009842AD"/>
    <w:rsid w:val="00984724"/>
    <w:rsid w:val="00984D72"/>
    <w:rsid w:val="00985C00"/>
    <w:rsid w:val="009865C5"/>
    <w:rsid w:val="00986946"/>
    <w:rsid w:val="00986ABF"/>
    <w:rsid w:val="00987026"/>
    <w:rsid w:val="009873AE"/>
    <w:rsid w:val="00987851"/>
    <w:rsid w:val="00987D3B"/>
    <w:rsid w:val="009901D6"/>
    <w:rsid w:val="009905A9"/>
    <w:rsid w:val="00990682"/>
    <w:rsid w:val="009908C0"/>
    <w:rsid w:val="0099190E"/>
    <w:rsid w:val="00991D3A"/>
    <w:rsid w:val="00991FFA"/>
    <w:rsid w:val="009926F5"/>
    <w:rsid w:val="00992987"/>
    <w:rsid w:val="00993119"/>
    <w:rsid w:val="00993439"/>
    <w:rsid w:val="00994AA8"/>
    <w:rsid w:val="00994FC4"/>
    <w:rsid w:val="009958E9"/>
    <w:rsid w:val="00995BB2"/>
    <w:rsid w:val="00995C83"/>
    <w:rsid w:val="0099628D"/>
    <w:rsid w:val="009963FB"/>
    <w:rsid w:val="009966E0"/>
    <w:rsid w:val="00996714"/>
    <w:rsid w:val="00996B2F"/>
    <w:rsid w:val="009972A4"/>
    <w:rsid w:val="009974DC"/>
    <w:rsid w:val="0099751C"/>
    <w:rsid w:val="009A02F2"/>
    <w:rsid w:val="009A09A3"/>
    <w:rsid w:val="009A0E20"/>
    <w:rsid w:val="009A11E4"/>
    <w:rsid w:val="009A16C2"/>
    <w:rsid w:val="009A1B6C"/>
    <w:rsid w:val="009A2495"/>
    <w:rsid w:val="009A349C"/>
    <w:rsid w:val="009A3573"/>
    <w:rsid w:val="009A3A89"/>
    <w:rsid w:val="009A4186"/>
    <w:rsid w:val="009A441D"/>
    <w:rsid w:val="009A4B57"/>
    <w:rsid w:val="009A4BB4"/>
    <w:rsid w:val="009A4BBC"/>
    <w:rsid w:val="009A59DA"/>
    <w:rsid w:val="009A5B16"/>
    <w:rsid w:val="009A5BA4"/>
    <w:rsid w:val="009A5BBF"/>
    <w:rsid w:val="009A5D22"/>
    <w:rsid w:val="009A620D"/>
    <w:rsid w:val="009A6DD3"/>
    <w:rsid w:val="009A6FDB"/>
    <w:rsid w:val="009A72CE"/>
    <w:rsid w:val="009A74F3"/>
    <w:rsid w:val="009A75B6"/>
    <w:rsid w:val="009B03DB"/>
    <w:rsid w:val="009B061F"/>
    <w:rsid w:val="009B0FAA"/>
    <w:rsid w:val="009B1482"/>
    <w:rsid w:val="009B15B0"/>
    <w:rsid w:val="009B19A4"/>
    <w:rsid w:val="009B22BF"/>
    <w:rsid w:val="009B2B84"/>
    <w:rsid w:val="009B3E39"/>
    <w:rsid w:val="009B4109"/>
    <w:rsid w:val="009B428E"/>
    <w:rsid w:val="009B440A"/>
    <w:rsid w:val="009B4627"/>
    <w:rsid w:val="009B463B"/>
    <w:rsid w:val="009B473A"/>
    <w:rsid w:val="009B50F2"/>
    <w:rsid w:val="009B51EF"/>
    <w:rsid w:val="009B53B6"/>
    <w:rsid w:val="009B5BA3"/>
    <w:rsid w:val="009B5D20"/>
    <w:rsid w:val="009B5F12"/>
    <w:rsid w:val="009B6870"/>
    <w:rsid w:val="009B69D7"/>
    <w:rsid w:val="009B6BDD"/>
    <w:rsid w:val="009B6ED3"/>
    <w:rsid w:val="009B7915"/>
    <w:rsid w:val="009B7A59"/>
    <w:rsid w:val="009B7F70"/>
    <w:rsid w:val="009C0499"/>
    <w:rsid w:val="009C05AB"/>
    <w:rsid w:val="009C11F6"/>
    <w:rsid w:val="009C1FAD"/>
    <w:rsid w:val="009C2F4A"/>
    <w:rsid w:val="009C3E77"/>
    <w:rsid w:val="009C400D"/>
    <w:rsid w:val="009C4016"/>
    <w:rsid w:val="009C4FA5"/>
    <w:rsid w:val="009C6383"/>
    <w:rsid w:val="009C644A"/>
    <w:rsid w:val="009C6576"/>
    <w:rsid w:val="009C685B"/>
    <w:rsid w:val="009C6B5C"/>
    <w:rsid w:val="009C6C1F"/>
    <w:rsid w:val="009C78ED"/>
    <w:rsid w:val="009C79AF"/>
    <w:rsid w:val="009C7AF0"/>
    <w:rsid w:val="009C7E62"/>
    <w:rsid w:val="009D037E"/>
    <w:rsid w:val="009D0432"/>
    <w:rsid w:val="009D0FCE"/>
    <w:rsid w:val="009D1636"/>
    <w:rsid w:val="009D1968"/>
    <w:rsid w:val="009D1A5F"/>
    <w:rsid w:val="009D1CFF"/>
    <w:rsid w:val="009D24D3"/>
    <w:rsid w:val="009D25D4"/>
    <w:rsid w:val="009D2894"/>
    <w:rsid w:val="009D2B09"/>
    <w:rsid w:val="009D3425"/>
    <w:rsid w:val="009D44EA"/>
    <w:rsid w:val="009D5C43"/>
    <w:rsid w:val="009D5DB4"/>
    <w:rsid w:val="009D659A"/>
    <w:rsid w:val="009D65D6"/>
    <w:rsid w:val="009D6D87"/>
    <w:rsid w:val="009D763F"/>
    <w:rsid w:val="009D76BE"/>
    <w:rsid w:val="009D7B66"/>
    <w:rsid w:val="009E03A4"/>
    <w:rsid w:val="009E05DE"/>
    <w:rsid w:val="009E0960"/>
    <w:rsid w:val="009E09E4"/>
    <w:rsid w:val="009E1199"/>
    <w:rsid w:val="009E12DB"/>
    <w:rsid w:val="009E159B"/>
    <w:rsid w:val="009E1E0D"/>
    <w:rsid w:val="009E1FB9"/>
    <w:rsid w:val="009E200F"/>
    <w:rsid w:val="009E2EE6"/>
    <w:rsid w:val="009E3D80"/>
    <w:rsid w:val="009E459F"/>
    <w:rsid w:val="009E56BA"/>
    <w:rsid w:val="009E6A96"/>
    <w:rsid w:val="009E7DDF"/>
    <w:rsid w:val="009E7DE5"/>
    <w:rsid w:val="009E7E12"/>
    <w:rsid w:val="009E7FCF"/>
    <w:rsid w:val="009F0D23"/>
    <w:rsid w:val="009F2DD9"/>
    <w:rsid w:val="009F34E1"/>
    <w:rsid w:val="009F3F28"/>
    <w:rsid w:val="009F41D8"/>
    <w:rsid w:val="009F4245"/>
    <w:rsid w:val="009F507F"/>
    <w:rsid w:val="009F5418"/>
    <w:rsid w:val="009F542A"/>
    <w:rsid w:val="009F5605"/>
    <w:rsid w:val="009F5B28"/>
    <w:rsid w:val="009F5D57"/>
    <w:rsid w:val="009F60E8"/>
    <w:rsid w:val="009F691E"/>
    <w:rsid w:val="009F701D"/>
    <w:rsid w:val="009F70CA"/>
    <w:rsid w:val="009F7894"/>
    <w:rsid w:val="009F796E"/>
    <w:rsid w:val="009F7E80"/>
    <w:rsid w:val="009F7EA9"/>
    <w:rsid w:val="00A00940"/>
    <w:rsid w:val="00A012B0"/>
    <w:rsid w:val="00A014C3"/>
    <w:rsid w:val="00A020A0"/>
    <w:rsid w:val="00A02BD8"/>
    <w:rsid w:val="00A03544"/>
    <w:rsid w:val="00A054DE"/>
    <w:rsid w:val="00A0554B"/>
    <w:rsid w:val="00A05DD1"/>
    <w:rsid w:val="00A0612B"/>
    <w:rsid w:val="00A065C5"/>
    <w:rsid w:val="00A07114"/>
    <w:rsid w:val="00A10253"/>
    <w:rsid w:val="00A105C0"/>
    <w:rsid w:val="00A112B5"/>
    <w:rsid w:val="00A11499"/>
    <w:rsid w:val="00A12BEC"/>
    <w:rsid w:val="00A12DDF"/>
    <w:rsid w:val="00A12EF5"/>
    <w:rsid w:val="00A12F1B"/>
    <w:rsid w:val="00A13170"/>
    <w:rsid w:val="00A132E5"/>
    <w:rsid w:val="00A13465"/>
    <w:rsid w:val="00A13E59"/>
    <w:rsid w:val="00A1458E"/>
    <w:rsid w:val="00A14D97"/>
    <w:rsid w:val="00A14E18"/>
    <w:rsid w:val="00A15938"/>
    <w:rsid w:val="00A15D38"/>
    <w:rsid w:val="00A1663C"/>
    <w:rsid w:val="00A16974"/>
    <w:rsid w:val="00A16D3E"/>
    <w:rsid w:val="00A16D4F"/>
    <w:rsid w:val="00A170F9"/>
    <w:rsid w:val="00A201BC"/>
    <w:rsid w:val="00A206E1"/>
    <w:rsid w:val="00A2091F"/>
    <w:rsid w:val="00A20BB6"/>
    <w:rsid w:val="00A20C97"/>
    <w:rsid w:val="00A21674"/>
    <w:rsid w:val="00A219B0"/>
    <w:rsid w:val="00A21A38"/>
    <w:rsid w:val="00A23220"/>
    <w:rsid w:val="00A23981"/>
    <w:rsid w:val="00A23EEE"/>
    <w:rsid w:val="00A2404D"/>
    <w:rsid w:val="00A24715"/>
    <w:rsid w:val="00A247C0"/>
    <w:rsid w:val="00A25C13"/>
    <w:rsid w:val="00A26550"/>
    <w:rsid w:val="00A26586"/>
    <w:rsid w:val="00A266B3"/>
    <w:rsid w:val="00A27035"/>
    <w:rsid w:val="00A275FD"/>
    <w:rsid w:val="00A2778A"/>
    <w:rsid w:val="00A27D6E"/>
    <w:rsid w:val="00A27F19"/>
    <w:rsid w:val="00A30117"/>
    <w:rsid w:val="00A30351"/>
    <w:rsid w:val="00A30730"/>
    <w:rsid w:val="00A30D87"/>
    <w:rsid w:val="00A30DEC"/>
    <w:rsid w:val="00A311B3"/>
    <w:rsid w:val="00A313CB"/>
    <w:rsid w:val="00A314BF"/>
    <w:rsid w:val="00A314FB"/>
    <w:rsid w:val="00A32143"/>
    <w:rsid w:val="00A32923"/>
    <w:rsid w:val="00A3296A"/>
    <w:rsid w:val="00A32C8F"/>
    <w:rsid w:val="00A32EE1"/>
    <w:rsid w:val="00A33684"/>
    <w:rsid w:val="00A33FE0"/>
    <w:rsid w:val="00A34190"/>
    <w:rsid w:val="00A344BF"/>
    <w:rsid w:val="00A3489C"/>
    <w:rsid w:val="00A3515F"/>
    <w:rsid w:val="00A3691B"/>
    <w:rsid w:val="00A36D53"/>
    <w:rsid w:val="00A379E5"/>
    <w:rsid w:val="00A400B3"/>
    <w:rsid w:val="00A401A7"/>
    <w:rsid w:val="00A40A8C"/>
    <w:rsid w:val="00A40B13"/>
    <w:rsid w:val="00A41E0C"/>
    <w:rsid w:val="00A42977"/>
    <w:rsid w:val="00A4342D"/>
    <w:rsid w:val="00A43947"/>
    <w:rsid w:val="00A43E20"/>
    <w:rsid w:val="00A43E9D"/>
    <w:rsid w:val="00A44164"/>
    <w:rsid w:val="00A4445E"/>
    <w:rsid w:val="00A444D0"/>
    <w:rsid w:val="00A4472F"/>
    <w:rsid w:val="00A44A38"/>
    <w:rsid w:val="00A44AE5"/>
    <w:rsid w:val="00A45599"/>
    <w:rsid w:val="00A457C0"/>
    <w:rsid w:val="00A46500"/>
    <w:rsid w:val="00A46634"/>
    <w:rsid w:val="00A47040"/>
    <w:rsid w:val="00A47921"/>
    <w:rsid w:val="00A50264"/>
    <w:rsid w:val="00A5027C"/>
    <w:rsid w:val="00A5070D"/>
    <w:rsid w:val="00A50AD2"/>
    <w:rsid w:val="00A51120"/>
    <w:rsid w:val="00A514AC"/>
    <w:rsid w:val="00A518F3"/>
    <w:rsid w:val="00A5275C"/>
    <w:rsid w:val="00A52F7D"/>
    <w:rsid w:val="00A5331A"/>
    <w:rsid w:val="00A53551"/>
    <w:rsid w:val="00A5379B"/>
    <w:rsid w:val="00A544B1"/>
    <w:rsid w:val="00A549B8"/>
    <w:rsid w:val="00A54BFC"/>
    <w:rsid w:val="00A54C45"/>
    <w:rsid w:val="00A54CC7"/>
    <w:rsid w:val="00A550DE"/>
    <w:rsid w:val="00A556A0"/>
    <w:rsid w:val="00A55A45"/>
    <w:rsid w:val="00A55A4A"/>
    <w:rsid w:val="00A56B18"/>
    <w:rsid w:val="00A56B30"/>
    <w:rsid w:val="00A56B9A"/>
    <w:rsid w:val="00A56DBA"/>
    <w:rsid w:val="00A56F5E"/>
    <w:rsid w:val="00A570F9"/>
    <w:rsid w:val="00A57206"/>
    <w:rsid w:val="00A5727E"/>
    <w:rsid w:val="00A57C1E"/>
    <w:rsid w:val="00A57CBF"/>
    <w:rsid w:val="00A60A1B"/>
    <w:rsid w:val="00A60DFD"/>
    <w:rsid w:val="00A60F3F"/>
    <w:rsid w:val="00A61055"/>
    <w:rsid w:val="00A610A8"/>
    <w:rsid w:val="00A6212F"/>
    <w:rsid w:val="00A62706"/>
    <w:rsid w:val="00A627D4"/>
    <w:rsid w:val="00A62B08"/>
    <w:rsid w:val="00A62EDB"/>
    <w:rsid w:val="00A63960"/>
    <w:rsid w:val="00A63FC1"/>
    <w:rsid w:val="00A64EC4"/>
    <w:rsid w:val="00A652E5"/>
    <w:rsid w:val="00A65367"/>
    <w:rsid w:val="00A654E9"/>
    <w:rsid w:val="00A6655E"/>
    <w:rsid w:val="00A66A2E"/>
    <w:rsid w:val="00A66D36"/>
    <w:rsid w:val="00A67630"/>
    <w:rsid w:val="00A67DE3"/>
    <w:rsid w:val="00A67ED1"/>
    <w:rsid w:val="00A67F78"/>
    <w:rsid w:val="00A70B94"/>
    <w:rsid w:val="00A70F93"/>
    <w:rsid w:val="00A715F9"/>
    <w:rsid w:val="00A716D1"/>
    <w:rsid w:val="00A71872"/>
    <w:rsid w:val="00A71A2E"/>
    <w:rsid w:val="00A72728"/>
    <w:rsid w:val="00A727D7"/>
    <w:rsid w:val="00A72AC7"/>
    <w:rsid w:val="00A73538"/>
    <w:rsid w:val="00A73AFA"/>
    <w:rsid w:val="00A73C75"/>
    <w:rsid w:val="00A743CC"/>
    <w:rsid w:val="00A74820"/>
    <w:rsid w:val="00A74A6F"/>
    <w:rsid w:val="00A74B30"/>
    <w:rsid w:val="00A7583D"/>
    <w:rsid w:val="00A75CD5"/>
    <w:rsid w:val="00A75E28"/>
    <w:rsid w:val="00A762D6"/>
    <w:rsid w:val="00A76747"/>
    <w:rsid w:val="00A76934"/>
    <w:rsid w:val="00A76DF8"/>
    <w:rsid w:val="00A7717A"/>
    <w:rsid w:val="00A77CA5"/>
    <w:rsid w:val="00A80620"/>
    <w:rsid w:val="00A80C0A"/>
    <w:rsid w:val="00A8162E"/>
    <w:rsid w:val="00A8173B"/>
    <w:rsid w:val="00A82004"/>
    <w:rsid w:val="00A8291F"/>
    <w:rsid w:val="00A82EF1"/>
    <w:rsid w:val="00A83945"/>
    <w:rsid w:val="00A8440D"/>
    <w:rsid w:val="00A84C51"/>
    <w:rsid w:val="00A85022"/>
    <w:rsid w:val="00A85C2D"/>
    <w:rsid w:val="00A864D7"/>
    <w:rsid w:val="00A8662F"/>
    <w:rsid w:val="00A86723"/>
    <w:rsid w:val="00A87308"/>
    <w:rsid w:val="00A901CA"/>
    <w:rsid w:val="00A9055F"/>
    <w:rsid w:val="00A91B16"/>
    <w:rsid w:val="00A91C3C"/>
    <w:rsid w:val="00A92924"/>
    <w:rsid w:val="00A92D10"/>
    <w:rsid w:val="00A9301D"/>
    <w:rsid w:val="00A939FA"/>
    <w:rsid w:val="00A93E9C"/>
    <w:rsid w:val="00A945A5"/>
    <w:rsid w:val="00A948F4"/>
    <w:rsid w:val="00A94CF9"/>
    <w:rsid w:val="00A94D08"/>
    <w:rsid w:val="00A95444"/>
    <w:rsid w:val="00A95FFB"/>
    <w:rsid w:val="00A96651"/>
    <w:rsid w:val="00A96D62"/>
    <w:rsid w:val="00A96FFC"/>
    <w:rsid w:val="00A9790E"/>
    <w:rsid w:val="00A97A8F"/>
    <w:rsid w:val="00AA02E1"/>
    <w:rsid w:val="00AA0312"/>
    <w:rsid w:val="00AA0983"/>
    <w:rsid w:val="00AA0C03"/>
    <w:rsid w:val="00AA0FD5"/>
    <w:rsid w:val="00AA10C3"/>
    <w:rsid w:val="00AA140F"/>
    <w:rsid w:val="00AA1489"/>
    <w:rsid w:val="00AA16B5"/>
    <w:rsid w:val="00AA17E3"/>
    <w:rsid w:val="00AA18BD"/>
    <w:rsid w:val="00AA220D"/>
    <w:rsid w:val="00AA2715"/>
    <w:rsid w:val="00AA29C3"/>
    <w:rsid w:val="00AA2E12"/>
    <w:rsid w:val="00AA3177"/>
    <w:rsid w:val="00AA31A4"/>
    <w:rsid w:val="00AA3AE4"/>
    <w:rsid w:val="00AA3EBF"/>
    <w:rsid w:val="00AA3FBD"/>
    <w:rsid w:val="00AA4497"/>
    <w:rsid w:val="00AA453F"/>
    <w:rsid w:val="00AA467D"/>
    <w:rsid w:val="00AA4D17"/>
    <w:rsid w:val="00AA4DAE"/>
    <w:rsid w:val="00AA5B22"/>
    <w:rsid w:val="00AA610A"/>
    <w:rsid w:val="00AA657C"/>
    <w:rsid w:val="00AA6612"/>
    <w:rsid w:val="00AA6C7A"/>
    <w:rsid w:val="00AA7838"/>
    <w:rsid w:val="00AA78C8"/>
    <w:rsid w:val="00AA7A02"/>
    <w:rsid w:val="00AA7EDD"/>
    <w:rsid w:val="00AB045F"/>
    <w:rsid w:val="00AB10AB"/>
    <w:rsid w:val="00AB178C"/>
    <w:rsid w:val="00AB199B"/>
    <w:rsid w:val="00AB1A0F"/>
    <w:rsid w:val="00AB2523"/>
    <w:rsid w:val="00AB2A68"/>
    <w:rsid w:val="00AB35D9"/>
    <w:rsid w:val="00AB3870"/>
    <w:rsid w:val="00AB3BF3"/>
    <w:rsid w:val="00AB3C87"/>
    <w:rsid w:val="00AB4A21"/>
    <w:rsid w:val="00AB4C37"/>
    <w:rsid w:val="00AB4FAA"/>
    <w:rsid w:val="00AB51A0"/>
    <w:rsid w:val="00AB5259"/>
    <w:rsid w:val="00AB5890"/>
    <w:rsid w:val="00AB5BA9"/>
    <w:rsid w:val="00AB5BEA"/>
    <w:rsid w:val="00AB6012"/>
    <w:rsid w:val="00AB60B5"/>
    <w:rsid w:val="00AB60F8"/>
    <w:rsid w:val="00AB6161"/>
    <w:rsid w:val="00AB742A"/>
    <w:rsid w:val="00AB7848"/>
    <w:rsid w:val="00AB7AFE"/>
    <w:rsid w:val="00AB7B78"/>
    <w:rsid w:val="00AC0221"/>
    <w:rsid w:val="00AC04E4"/>
    <w:rsid w:val="00AC1C55"/>
    <w:rsid w:val="00AC1CD1"/>
    <w:rsid w:val="00AC288A"/>
    <w:rsid w:val="00AC2C13"/>
    <w:rsid w:val="00AC2FAC"/>
    <w:rsid w:val="00AC341C"/>
    <w:rsid w:val="00AC35D0"/>
    <w:rsid w:val="00AC3C36"/>
    <w:rsid w:val="00AC3C7B"/>
    <w:rsid w:val="00AC4485"/>
    <w:rsid w:val="00AC4880"/>
    <w:rsid w:val="00AC48FE"/>
    <w:rsid w:val="00AC4B7A"/>
    <w:rsid w:val="00AC4DCD"/>
    <w:rsid w:val="00AC5015"/>
    <w:rsid w:val="00AC51A8"/>
    <w:rsid w:val="00AC5830"/>
    <w:rsid w:val="00AC5EC1"/>
    <w:rsid w:val="00AC6090"/>
    <w:rsid w:val="00AC6299"/>
    <w:rsid w:val="00AC6566"/>
    <w:rsid w:val="00AC68C6"/>
    <w:rsid w:val="00AC7241"/>
    <w:rsid w:val="00AD018E"/>
    <w:rsid w:val="00AD0479"/>
    <w:rsid w:val="00AD0A63"/>
    <w:rsid w:val="00AD0B48"/>
    <w:rsid w:val="00AD1055"/>
    <w:rsid w:val="00AD114D"/>
    <w:rsid w:val="00AD18FC"/>
    <w:rsid w:val="00AD19B7"/>
    <w:rsid w:val="00AD1E95"/>
    <w:rsid w:val="00AD1F76"/>
    <w:rsid w:val="00AD2377"/>
    <w:rsid w:val="00AD305C"/>
    <w:rsid w:val="00AD3B89"/>
    <w:rsid w:val="00AD3D60"/>
    <w:rsid w:val="00AD3DE1"/>
    <w:rsid w:val="00AD3F00"/>
    <w:rsid w:val="00AD4044"/>
    <w:rsid w:val="00AD41AC"/>
    <w:rsid w:val="00AD4E8F"/>
    <w:rsid w:val="00AD55CE"/>
    <w:rsid w:val="00AD568E"/>
    <w:rsid w:val="00AD5702"/>
    <w:rsid w:val="00AD5CD5"/>
    <w:rsid w:val="00AD62F3"/>
    <w:rsid w:val="00AD6EB4"/>
    <w:rsid w:val="00AD758E"/>
    <w:rsid w:val="00AD7ADE"/>
    <w:rsid w:val="00AD7EE3"/>
    <w:rsid w:val="00AE011C"/>
    <w:rsid w:val="00AE0140"/>
    <w:rsid w:val="00AE02ED"/>
    <w:rsid w:val="00AE0301"/>
    <w:rsid w:val="00AE1503"/>
    <w:rsid w:val="00AE165C"/>
    <w:rsid w:val="00AE1D32"/>
    <w:rsid w:val="00AE2109"/>
    <w:rsid w:val="00AE27B6"/>
    <w:rsid w:val="00AE280D"/>
    <w:rsid w:val="00AE29EC"/>
    <w:rsid w:val="00AE2AE9"/>
    <w:rsid w:val="00AE2CA3"/>
    <w:rsid w:val="00AE33B4"/>
    <w:rsid w:val="00AE3860"/>
    <w:rsid w:val="00AE397E"/>
    <w:rsid w:val="00AE3A04"/>
    <w:rsid w:val="00AE3BC2"/>
    <w:rsid w:val="00AE3E42"/>
    <w:rsid w:val="00AE417B"/>
    <w:rsid w:val="00AE4B81"/>
    <w:rsid w:val="00AE5213"/>
    <w:rsid w:val="00AE5575"/>
    <w:rsid w:val="00AE5685"/>
    <w:rsid w:val="00AE5A13"/>
    <w:rsid w:val="00AE5A49"/>
    <w:rsid w:val="00AE66CF"/>
    <w:rsid w:val="00AE6A41"/>
    <w:rsid w:val="00AE70A7"/>
    <w:rsid w:val="00AE74DE"/>
    <w:rsid w:val="00AE7B1C"/>
    <w:rsid w:val="00AE7E4C"/>
    <w:rsid w:val="00AE7F36"/>
    <w:rsid w:val="00AF068D"/>
    <w:rsid w:val="00AF0FD1"/>
    <w:rsid w:val="00AF1388"/>
    <w:rsid w:val="00AF1634"/>
    <w:rsid w:val="00AF1EF9"/>
    <w:rsid w:val="00AF1F65"/>
    <w:rsid w:val="00AF1FDD"/>
    <w:rsid w:val="00AF2042"/>
    <w:rsid w:val="00AF2510"/>
    <w:rsid w:val="00AF272C"/>
    <w:rsid w:val="00AF291A"/>
    <w:rsid w:val="00AF2C83"/>
    <w:rsid w:val="00AF2D9E"/>
    <w:rsid w:val="00AF37AA"/>
    <w:rsid w:val="00AF3A9E"/>
    <w:rsid w:val="00AF3D44"/>
    <w:rsid w:val="00AF4433"/>
    <w:rsid w:val="00AF497D"/>
    <w:rsid w:val="00AF54CA"/>
    <w:rsid w:val="00AF56C1"/>
    <w:rsid w:val="00AF59D7"/>
    <w:rsid w:val="00AF63F5"/>
    <w:rsid w:val="00AF6728"/>
    <w:rsid w:val="00AF6B62"/>
    <w:rsid w:val="00AF6C50"/>
    <w:rsid w:val="00AF6F3C"/>
    <w:rsid w:val="00AF7B9A"/>
    <w:rsid w:val="00B00E4A"/>
    <w:rsid w:val="00B010D0"/>
    <w:rsid w:val="00B01AE6"/>
    <w:rsid w:val="00B01DEE"/>
    <w:rsid w:val="00B01F45"/>
    <w:rsid w:val="00B02E52"/>
    <w:rsid w:val="00B02F2A"/>
    <w:rsid w:val="00B02F38"/>
    <w:rsid w:val="00B02FCF"/>
    <w:rsid w:val="00B03005"/>
    <w:rsid w:val="00B041ED"/>
    <w:rsid w:val="00B041FB"/>
    <w:rsid w:val="00B04641"/>
    <w:rsid w:val="00B04B63"/>
    <w:rsid w:val="00B04C2A"/>
    <w:rsid w:val="00B04E6A"/>
    <w:rsid w:val="00B05349"/>
    <w:rsid w:val="00B05815"/>
    <w:rsid w:val="00B0634B"/>
    <w:rsid w:val="00B06DEC"/>
    <w:rsid w:val="00B07030"/>
    <w:rsid w:val="00B0717D"/>
    <w:rsid w:val="00B07408"/>
    <w:rsid w:val="00B07527"/>
    <w:rsid w:val="00B076E7"/>
    <w:rsid w:val="00B0782C"/>
    <w:rsid w:val="00B07956"/>
    <w:rsid w:val="00B07FD9"/>
    <w:rsid w:val="00B10367"/>
    <w:rsid w:val="00B10947"/>
    <w:rsid w:val="00B10FEA"/>
    <w:rsid w:val="00B11A3D"/>
    <w:rsid w:val="00B12CF6"/>
    <w:rsid w:val="00B130BF"/>
    <w:rsid w:val="00B1311C"/>
    <w:rsid w:val="00B13A84"/>
    <w:rsid w:val="00B14CC0"/>
    <w:rsid w:val="00B15098"/>
    <w:rsid w:val="00B15234"/>
    <w:rsid w:val="00B1542B"/>
    <w:rsid w:val="00B157D7"/>
    <w:rsid w:val="00B1623F"/>
    <w:rsid w:val="00B167A4"/>
    <w:rsid w:val="00B16AA1"/>
    <w:rsid w:val="00B16D6A"/>
    <w:rsid w:val="00B170C5"/>
    <w:rsid w:val="00B17C00"/>
    <w:rsid w:val="00B17CFE"/>
    <w:rsid w:val="00B17FEE"/>
    <w:rsid w:val="00B200E1"/>
    <w:rsid w:val="00B20349"/>
    <w:rsid w:val="00B205FD"/>
    <w:rsid w:val="00B20996"/>
    <w:rsid w:val="00B20D0B"/>
    <w:rsid w:val="00B216E5"/>
    <w:rsid w:val="00B218DF"/>
    <w:rsid w:val="00B21D51"/>
    <w:rsid w:val="00B22D7B"/>
    <w:rsid w:val="00B22EC4"/>
    <w:rsid w:val="00B23397"/>
    <w:rsid w:val="00B23C31"/>
    <w:rsid w:val="00B23D65"/>
    <w:rsid w:val="00B2412E"/>
    <w:rsid w:val="00B248E5"/>
    <w:rsid w:val="00B24BD7"/>
    <w:rsid w:val="00B25311"/>
    <w:rsid w:val="00B2561C"/>
    <w:rsid w:val="00B2587E"/>
    <w:rsid w:val="00B260FD"/>
    <w:rsid w:val="00B26237"/>
    <w:rsid w:val="00B263C7"/>
    <w:rsid w:val="00B2656C"/>
    <w:rsid w:val="00B26D87"/>
    <w:rsid w:val="00B27196"/>
    <w:rsid w:val="00B276A0"/>
    <w:rsid w:val="00B27B24"/>
    <w:rsid w:val="00B27D44"/>
    <w:rsid w:val="00B27E9B"/>
    <w:rsid w:val="00B303AC"/>
    <w:rsid w:val="00B3077E"/>
    <w:rsid w:val="00B30B14"/>
    <w:rsid w:val="00B3159F"/>
    <w:rsid w:val="00B31615"/>
    <w:rsid w:val="00B316A9"/>
    <w:rsid w:val="00B32288"/>
    <w:rsid w:val="00B327F4"/>
    <w:rsid w:val="00B32ACB"/>
    <w:rsid w:val="00B32F2A"/>
    <w:rsid w:val="00B32F85"/>
    <w:rsid w:val="00B3377B"/>
    <w:rsid w:val="00B3435A"/>
    <w:rsid w:val="00B3480E"/>
    <w:rsid w:val="00B34C59"/>
    <w:rsid w:val="00B34C74"/>
    <w:rsid w:val="00B3508C"/>
    <w:rsid w:val="00B35186"/>
    <w:rsid w:val="00B35BC0"/>
    <w:rsid w:val="00B36596"/>
    <w:rsid w:val="00B36DC7"/>
    <w:rsid w:val="00B36F7E"/>
    <w:rsid w:val="00B37102"/>
    <w:rsid w:val="00B37235"/>
    <w:rsid w:val="00B37389"/>
    <w:rsid w:val="00B37806"/>
    <w:rsid w:val="00B37837"/>
    <w:rsid w:val="00B37A8C"/>
    <w:rsid w:val="00B37D37"/>
    <w:rsid w:val="00B404FF"/>
    <w:rsid w:val="00B40B1E"/>
    <w:rsid w:val="00B413BA"/>
    <w:rsid w:val="00B41C3A"/>
    <w:rsid w:val="00B42133"/>
    <w:rsid w:val="00B42689"/>
    <w:rsid w:val="00B426FD"/>
    <w:rsid w:val="00B42DB7"/>
    <w:rsid w:val="00B42EC1"/>
    <w:rsid w:val="00B43C90"/>
    <w:rsid w:val="00B443E2"/>
    <w:rsid w:val="00B449FD"/>
    <w:rsid w:val="00B45C85"/>
    <w:rsid w:val="00B46792"/>
    <w:rsid w:val="00B46EF7"/>
    <w:rsid w:val="00B47088"/>
    <w:rsid w:val="00B471FA"/>
    <w:rsid w:val="00B473DB"/>
    <w:rsid w:val="00B501B5"/>
    <w:rsid w:val="00B503D2"/>
    <w:rsid w:val="00B504B6"/>
    <w:rsid w:val="00B51238"/>
    <w:rsid w:val="00B51F8D"/>
    <w:rsid w:val="00B5287D"/>
    <w:rsid w:val="00B52A03"/>
    <w:rsid w:val="00B53209"/>
    <w:rsid w:val="00B538A5"/>
    <w:rsid w:val="00B53B1A"/>
    <w:rsid w:val="00B53CD1"/>
    <w:rsid w:val="00B53CF0"/>
    <w:rsid w:val="00B54D39"/>
    <w:rsid w:val="00B55AF3"/>
    <w:rsid w:val="00B56306"/>
    <w:rsid w:val="00B5656D"/>
    <w:rsid w:val="00B56784"/>
    <w:rsid w:val="00B56962"/>
    <w:rsid w:val="00B569EC"/>
    <w:rsid w:val="00B56FC3"/>
    <w:rsid w:val="00B5709A"/>
    <w:rsid w:val="00B60138"/>
    <w:rsid w:val="00B613E1"/>
    <w:rsid w:val="00B6162C"/>
    <w:rsid w:val="00B61B87"/>
    <w:rsid w:val="00B61D42"/>
    <w:rsid w:val="00B6255F"/>
    <w:rsid w:val="00B62BB3"/>
    <w:rsid w:val="00B63C14"/>
    <w:rsid w:val="00B6404C"/>
    <w:rsid w:val="00B64262"/>
    <w:rsid w:val="00B642F6"/>
    <w:rsid w:val="00B643A4"/>
    <w:rsid w:val="00B6494F"/>
    <w:rsid w:val="00B64ECD"/>
    <w:rsid w:val="00B64F79"/>
    <w:rsid w:val="00B659F7"/>
    <w:rsid w:val="00B65A0A"/>
    <w:rsid w:val="00B65DDD"/>
    <w:rsid w:val="00B65F1E"/>
    <w:rsid w:val="00B66296"/>
    <w:rsid w:val="00B6654F"/>
    <w:rsid w:val="00B667E5"/>
    <w:rsid w:val="00B66CE6"/>
    <w:rsid w:val="00B67281"/>
    <w:rsid w:val="00B67CFF"/>
    <w:rsid w:val="00B67E94"/>
    <w:rsid w:val="00B701B0"/>
    <w:rsid w:val="00B70765"/>
    <w:rsid w:val="00B710C6"/>
    <w:rsid w:val="00B71352"/>
    <w:rsid w:val="00B71428"/>
    <w:rsid w:val="00B71515"/>
    <w:rsid w:val="00B717FD"/>
    <w:rsid w:val="00B71A25"/>
    <w:rsid w:val="00B72547"/>
    <w:rsid w:val="00B72608"/>
    <w:rsid w:val="00B727D1"/>
    <w:rsid w:val="00B72D51"/>
    <w:rsid w:val="00B72E1F"/>
    <w:rsid w:val="00B73227"/>
    <w:rsid w:val="00B73387"/>
    <w:rsid w:val="00B737DC"/>
    <w:rsid w:val="00B73F7E"/>
    <w:rsid w:val="00B74544"/>
    <w:rsid w:val="00B7485D"/>
    <w:rsid w:val="00B74AB9"/>
    <w:rsid w:val="00B75480"/>
    <w:rsid w:val="00B7583F"/>
    <w:rsid w:val="00B7703E"/>
    <w:rsid w:val="00B8090C"/>
    <w:rsid w:val="00B80F42"/>
    <w:rsid w:val="00B81120"/>
    <w:rsid w:val="00B815B3"/>
    <w:rsid w:val="00B81A92"/>
    <w:rsid w:val="00B81B05"/>
    <w:rsid w:val="00B82093"/>
    <w:rsid w:val="00B824F9"/>
    <w:rsid w:val="00B82AE5"/>
    <w:rsid w:val="00B82FFA"/>
    <w:rsid w:val="00B8329E"/>
    <w:rsid w:val="00B83378"/>
    <w:rsid w:val="00B835F9"/>
    <w:rsid w:val="00B8402F"/>
    <w:rsid w:val="00B849DC"/>
    <w:rsid w:val="00B849FE"/>
    <w:rsid w:val="00B84F01"/>
    <w:rsid w:val="00B85CEC"/>
    <w:rsid w:val="00B86DA6"/>
    <w:rsid w:val="00B86DF5"/>
    <w:rsid w:val="00B871BE"/>
    <w:rsid w:val="00B87235"/>
    <w:rsid w:val="00B87269"/>
    <w:rsid w:val="00B876CD"/>
    <w:rsid w:val="00B900D1"/>
    <w:rsid w:val="00B905E0"/>
    <w:rsid w:val="00B9080E"/>
    <w:rsid w:val="00B90AFC"/>
    <w:rsid w:val="00B90B37"/>
    <w:rsid w:val="00B90BC3"/>
    <w:rsid w:val="00B9253E"/>
    <w:rsid w:val="00B926F5"/>
    <w:rsid w:val="00B92E2B"/>
    <w:rsid w:val="00B92FA7"/>
    <w:rsid w:val="00B933AD"/>
    <w:rsid w:val="00B93516"/>
    <w:rsid w:val="00B93793"/>
    <w:rsid w:val="00B93EB3"/>
    <w:rsid w:val="00B94CDF"/>
    <w:rsid w:val="00B94E1F"/>
    <w:rsid w:val="00B950C7"/>
    <w:rsid w:val="00B956AB"/>
    <w:rsid w:val="00B95F3E"/>
    <w:rsid w:val="00B963B0"/>
    <w:rsid w:val="00B9649F"/>
    <w:rsid w:val="00B96D43"/>
    <w:rsid w:val="00B96D62"/>
    <w:rsid w:val="00B96F60"/>
    <w:rsid w:val="00B97407"/>
    <w:rsid w:val="00B97873"/>
    <w:rsid w:val="00B97E23"/>
    <w:rsid w:val="00BA0709"/>
    <w:rsid w:val="00BA1764"/>
    <w:rsid w:val="00BA1941"/>
    <w:rsid w:val="00BA1C2F"/>
    <w:rsid w:val="00BA22F5"/>
    <w:rsid w:val="00BA30E3"/>
    <w:rsid w:val="00BA3139"/>
    <w:rsid w:val="00BA3160"/>
    <w:rsid w:val="00BA3E49"/>
    <w:rsid w:val="00BA3EB1"/>
    <w:rsid w:val="00BA4371"/>
    <w:rsid w:val="00BA4528"/>
    <w:rsid w:val="00BA5102"/>
    <w:rsid w:val="00BA539A"/>
    <w:rsid w:val="00BA54C8"/>
    <w:rsid w:val="00BA5807"/>
    <w:rsid w:val="00BA5A15"/>
    <w:rsid w:val="00BA5A6D"/>
    <w:rsid w:val="00BA5C5D"/>
    <w:rsid w:val="00BA5DF0"/>
    <w:rsid w:val="00BA609C"/>
    <w:rsid w:val="00BA621D"/>
    <w:rsid w:val="00BA6C81"/>
    <w:rsid w:val="00BA6CBA"/>
    <w:rsid w:val="00BA76C5"/>
    <w:rsid w:val="00BA7C9D"/>
    <w:rsid w:val="00BA7F8E"/>
    <w:rsid w:val="00BB07CA"/>
    <w:rsid w:val="00BB0DBB"/>
    <w:rsid w:val="00BB1210"/>
    <w:rsid w:val="00BB1262"/>
    <w:rsid w:val="00BB13B6"/>
    <w:rsid w:val="00BB156E"/>
    <w:rsid w:val="00BB17E8"/>
    <w:rsid w:val="00BB19D4"/>
    <w:rsid w:val="00BB1C25"/>
    <w:rsid w:val="00BB1CB1"/>
    <w:rsid w:val="00BB21CE"/>
    <w:rsid w:val="00BB23F3"/>
    <w:rsid w:val="00BB245A"/>
    <w:rsid w:val="00BB2500"/>
    <w:rsid w:val="00BB2A4D"/>
    <w:rsid w:val="00BB2BB5"/>
    <w:rsid w:val="00BB2DAA"/>
    <w:rsid w:val="00BB2FB7"/>
    <w:rsid w:val="00BB2FF8"/>
    <w:rsid w:val="00BB34A6"/>
    <w:rsid w:val="00BB3F3B"/>
    <w:rsid w:val="00BB42B4"/>
    <w:rsid w:val="00BB4733"/>
    <w:rsid w:val="00BB4785"/>
    <w:rsid w:val="00BB4F6D"/>
    <w:rsid w:val="00BB50EB"/>
    <w:rsid w:val="00BB550D"/>
    <w:rsid w:val="00BB593C"/>
    <w:rsid w:val="00BB5B2C"/>
    <w:rsid w:val="00BB608A"/>
    <w:rsid w:val="00BB6549"/>
    <w:rsid w:val="00BB6657"/>
    <w:rsid w:val="00BB7461"/>
    <w:rsid w:val="00BB75E8"/>
    <w:rsid w:val="00BB7C9F"/>
    <w:rsid w:val="00BC04F0"/>
    <w:rsid w:val="00BC1AD9"/>
    <w:rsid w:val="00BC236E"/>
    <w:rsid w:val="00BC27B0"/>
    <w:rsid w:val="00BC28A0"/>
    <w:rsid w:val="00BC336F"/>
    <w:rsid w:val="00BC3D5A"/>
    <w:rsid w:val="00BC44AC"/>
    <w:rsid w:val="00BC4516"/>
    <w:rsid w:val="00BC4C9E"/>
    <w:rsid w:val="00BC56C9"/>
    <w:rsid w:val="00BC5747"/>
    <w:rsid w:val="00BC60B8"/>
    <w:rsid w:val="00BC6BA4"/>
    <w:rsid w:val="00BC71B4"/>
    <w:rsid w:val="00BD0744"/>
    <w:rsid w:val="00BD078C"/>
    <w:rsid w:val="00BD08BD"/>
    <w:rsid w:val="00BD0C06"/>
    <w:rsid w:val="00BD0DAF"/>
    <w:rsid w:val="00BD0E24"/>
    <w:rsid w:val="00BD1814"/>
    <w:rsid w:val="00BD1B5A"/>
    <w:rsid w:val="00BD1F03"/>
    <w:rsid w:val="00BD304B"/>
    <w:rsid w:val="00BD38EF"/>
    <w:rsid w:val="00BD3EFD"/>
    <w:rsid w:val="00BD3F69"/>
    <w:rsid w:val="00BD435C"/>
    <w:rsid w:val="00BD5021"/>
    <w:rsid w:val="00BD532A"/>
    <w:rsid w:val="00BD586A"/>
    <w:rsid w:val="00BD730E"/>
    <w:rsid w:val="00BD7552"/>
    <w:rsid w:val="00BE0DA6"/>
    <w:rsid w:val="00BE1A1F"/>
    <w:rsid w:val="00BE210A"/>
    <w:rsid w:val="00BE22B2"/>
    <w:rsid w:val="00BE236F"/>
    <w:rsid w:val="00BE24BB"/>
    <w:rsid w:val="00BE269A"/>
    <w:rsid w:val="00BE290A"/>
    <w:rsid w:val="00BE2A57"/>
    <w:rsid w:val="00BE30FA"/>
    <w:rsid w:val="00BE335E"/>
    <w:rsid w:val="00BE35DE"/>
    <w:rsid w:val="00BE362B"/>
    <w:rsid w:val="00BE4494"/>
    <w:rsid w:val="00BE485E"/>
    <w:rsid w:val="00BE49FF"/>
    <w:rsid w:val="00BE53FD"/>
    <w:rsid w:val="00BE5C6A"/>
    <w:rsid w:val="00BE5C71"/>
    <w:rsid w:val="00BE694D"/>
    <w:rsid w:val="00BE6C93"/>
    <w:rsid w:val="00BE72D5"/>
    <w:rsid w:val="00BE7714"/>
    <w:rsid w:val="00BE7790"/>
    <w:rsid w:val="00BF007E"/>
    <w:rsid w:val="00BF08BE"/>
    <w:rsid w:val="00BF0D41"/>
    <w:rsid w:val="00BF19DF"/>
    <w:rsid w:val="00BF2477"/>
    <w:rsid w:val="00BF25D9"/>
    <w:rsid w:val="00BF2EFB"/>
    <w:rsid w:val="00BF31BA"/>
    <w:rsid w:val="00BF3470"/>
    <w:rsid w:val="00BF3F47"/>
    <w:rsid w:val="00BF4529"/>
    <w:rsid w:val="00BF47DA"/>
    <w:rsid w:val="00BF48D1"/>
    <w:rsid w:val="00BF4D42"/>
    <w:rsid w:val="00BF4F43"/>
    <w:rsid w:val="00BF5257"/>
    <w:rsid w:val="00BF5C75"/>
    <w:rsid w:val="00BF60E8"/>
    <w:rsid w:val="00BF61B4"/>
    <w:rsid w:val="00BF62A2"/>
    <w:rsid w:val="00BF6A21"/>
    <w:rsid w:val="00BF6AD2"/>
    <w:rsid w:val="00BF7531"/>
    <w:rsid w:val="00BF77B9"/>
    <w:rsid w:val="00BF7AE9"/>
    <w:rsid w:val="00C00769"/>
    <w:rsid w:val="00C01249"/>
    <w:rsid w:val="00C015FE"/>
    <w:rsid w:val="00C01730"/>
    <w:rsid w:val="00C025B0"/>
    <w:rsid w:val="00C02AF7"/>
    <w:rsid w:val="00C031C4"/>
    <w:rsid w:val="00C04466"/>
    <w:rsid w:val="00C04AAD"/>
    <w:rsid w:val="00C04C98"/>
    <w:rsid w:val="00C04FB2"/>
    <w:rsid w:val="00C05842"/>
    <w:rsid w:val="00C05D2A"/>
    <w:rsid w:val="00C05EF1"/>
    <w:rsid w:val="00C06FEA"/>
    <w:rsid w:val="00C074AF"/>
    <w:rsid w:val="00C07A40"/>
    <w:rsid w:val="00C07BAD"/>
    <w:rsid w:val="00C07BCF"/>
    <w:rsid w:val="00C10427"/>
    <w:rsid w:val="00C110AE"/>
    <w:rsid w:val="00C11221"/>
    <w:rsid w:val="00C11D18"/>
    <w:rsid w:val="00C11F3B"/>
    <w:rsid w:val="00C12268"/>
    <w:rsid w:val="00C136AB"/>
    <w:rsid w:val="00C136EE"/>
    <w:rsid w:val="00C136F8"/>
    <w:rsid w:val="00C13739"/>
    <w:rsid w:val="00C13823"/>
    <w:rsid w:val="00C1384D"/>
    <w:rsid w:val="00C13F73"/>
    <w:rsid w:val="00C14655"/>
    <w:rsid w:val="00C146F7"/>
    <w:rsid w:val="00C1494C"/>
    <w:rsid w:val="00C14B45"/>
    <w:rsid w:val="00C14C1A"/>
    <w:rsid w:val="00C1562B"/>
    <w:rsid w:val="00C15718"/>
    <w:rsid w:val="00C159B1"/>
    <w:rsid w:val="00C17415"/>
    <w:rsid w:val="00C17F24"/>
    <w:rsid w:val="00C200AA"/>
    <w:rsid w:val="00C2079E"/>
    <w:rsid w:val="00C209B8"/>
    <w:rsid w:val="00C20EDE"/>
    <w:rsid w:val="00C20FE8"/>
    <w:rsid w:val="00C214EE"/>
    <w:rsid w:val="00C21BE9"/>
    <w:rsid w:val="00C21FA4"/>
    <w:rsid w:val="00C22056"/>
    <w:rsid w:val="00C2227A"/>
    <w:rsid w:val="00C22ABF"/>
    <w:rsid w:val="00C2347C"/>
    <w:rsid w:val="00C23652"/>
    <w:rsid w:val="00C237F6"/>
    <w:rsid w:val="00C239B3"/>
    <w:rsid w:val="00C239E3"/>
    <w:rsid w:val="00C23D4A"/>
    <w:rsid w:val="00C242A3"/>
    <w:rsid w:val="00C24395"/>
    <w:rsid w:val="00C247EE"/>
    <w:rsid w:val="00C255E4"/>
    <w:rsid w:val="00C26517"/>
    <w:rsid w:val="00C26849"/>
    <w:rsid w:val="00C26BAF"/>
    <w:rsid w:val="00C26C27"/>
    <w:rsid w:val="00C3008D"/>
    <w:rsid w:val="00C300AE"/>
    <w:rsid w:val="00C303B4"/>
    <w:rsid w:val="00C307B4"/>
    <w:rsid w:val="00C3188A"/>
    <w:rsid w:val="00C31B4E"/>
    <w:rsid w:val="00C325AF"/>
    <w:rsid w:val="00C32B8D"/>
    <w:rsid w:val="00C32C61"/>
    <w:rsid w:val="00C33762"/>
    <w:rsid w:val="00C33CA1"/>
    <w:rsid w:val="00C33F27"/>
    <w:rsid w:val="00C34D6A"/>
    <w:rsid w:val="00C35F88"/>
    <w:rsid w:val="00C36CD6"/>
    <w:rsid w:val="00C36E53"/>
    <w:rsid w:val="00C37512"/>
    <w:rsid w:val="00C37CE1"/>
    <w:rsid w:val="00C37ED3"/>
    <w:rsid w:val="00C40CCC"/>
    <w:rsid w:val="00C40D0E"/>
    <w:rsid w:val="00C417C8"/>
    <w:rsid w:val="00C41F93"/>
    <w:rsid w:val="00C4229A"/>
    <w:rsid w:val="00C42741"/>
    <w:rsid w:val="00C428EE"/>
    <w:rsid w:val="00C42D67"/>
    <w:rsid w:val="00C43576"/>
    <w:rsid w:val="00C43AC3"/>
    <w:rsid w:val="00C43D30"/>
    <w:rsid w:val="00C44245"/>
    <w:rsid w:val="00C44499"/>
    <w:rsid w:val="00C444BE"/>
    <w:rsid w:val="00C4450D"/>
    <w:rsid w:val="00C45270"/>
    <w:rsid w:val="00C4576A"/>
    <w:rsid w:val="00C45C25"/>
    <w:rsid w:val="00C45C61"/>
    <w:rsid w:val="00C45D9F"/>
    <w:rsid w:val="00C46158"/>
    <w:rsid w:val="00C462AC"/>
    <w:rsid w:val="00C46A08"/>
    <w:rsid w:val="00C46D7C"/>
    <w:rsid w:val="00C478FB"/>
    <w:rsid w:val="00C479B7"/>
    <w:rsid w:val="00C47A06"/>
    <w:rsid w:val="00C47AD1"/>
    <w:rsid w:val="00C5009E"/>
    <w:rsid w:val="00C50447"/>
    <w:rsid w:val="00C50F64"/>
    <w:rsid w:val="00C515A9"/>
    <w:rsid w:val="00C51EE9"/>
    <w:rsid w:val="00C520DF"/>
    <w:rsid w:val="00C525F6"/>
    <w:rsid w:val="00C52637"/>
    <w:rsid w:val="00C52C9F"/>
    <w:rsid w:val="00C533E0"/>
    <w:rsid w:val="00C536F3"/>
    <w:rsid w:val="00C53D16"/>
    <w:rsid w:val="00C54761"/>
    <w:rsid w:val="00C551E4"/>
    <w:rsid w:val="00C55696"/>
    <w:rsid w:val="00C609CC"/>
    <w:rsid w:val="00C60F0F"/>
    <w:rsid w:val="00C617C1"/>
    <w:rsid w:val="00C61FCD"/>
    <w:rsid w:val="00C62B06"/>
    <w:rsid w:val="00C62BFF"/>
    <w:rsid w:val="00C62C88"/>
    <w:rsid w:val="00C62F2A"/>
    <w:rsid w:val="00C633A8"/>
    <w:rsid w:val="00C634DF"/>
    <w:rsid w:val="00C63833"/>
    <w:rsid w:val="00C6449B"/>
    <w:rsid w:val="00C64833"/>
    <w:rsid w:val="00C64CCE"/>
    <w:rsid w:val="00C64E9C"/>
    <w:rsid w:val="00C65216"/>
    <w:rsid w:val="00C65247"/>
    <w:rsid w:val="00C656BA"/>
    <w:rsid w:val="00C66200"/>
    <w:rsid w:val="00C6629B"/>
    <w:rsid w:val="00C66355"/>
    <w:rsid w:val="00C664AE"/>
    <w:rsid w:val="00C6653F"/>
    <w:rsid w:val="00C665F6"/>
    <w:rsid w:val="00C66949"/>
    <w:rsid w:val="00C66FC5"/>
    <w:rsid w:val="00C675F6"/>
    <w:rsid w:val="00C700EF"/>
    <w:rsid w:val="00C7012A"/>
    <w:rsid w:val="00C7084B"/>
    <w:rsid w:val="00C713C9"/>
    <w:rsid w:val="00C7194F"/>
    <w:rsid w:val="00C719FA"/>
    <w:rsid w:val="00C71D10"/>
    <w:rsid w:val="00C725BE"/>
    <w:rsid w:val="00C726A4"/>
    <w:rsid w:val="00C72752"/>
    <w:rsid w:val="00C73775"/>
    <w:rsid w:val="00C73F98"/>
    <w:rsid w:val="00C742B0"/>
    <w:rsid w:val="00C747D0"/>
    <w:rsid w:val="00C747FA"/>
    <w:rsid w:val="00C74A76"/>
    <w:rsid w:val="00C74F6B"/>
    <w:rsid w:val="00C75F09"/>
    <w:rsid w:val="00C76002"/>
    <w:rsid w:val="00C77459"/>
    <w:rsid w:val="00C776BE"/>
    <w:rsid w:val="00C77880"/>
    <w:rsid w:val="00C80202"/>
    <w:rsid w:val="00C80569"/>
    <w:rsid w:val="00C80AFA"/>
    <w:rsid w:val="00C80F3B"/>
    <w:rsid w:val="00C81347"/>
    <w:rsid w:val="00C818E7"/>
    <w:rsid w:val="00C823A8"/>
    <w:rsid w:val="00C8280D"/>
    <w:rsid w:val="00C83062"/>
    <w:rsid w:val="00C83870"/>
    <w:rsid w:val="00C838FE"/>
    <w:rsid w:val="00C83989"/>
    <w:rsid w:val="00C84D45"/>
    <w:rsid w:val="00C85054"/>
    <w:rsid w:val="00C851F6"/>
    <w:rsid w:val="00C85484"/>
    <w:rsid w:val="00C85900"/>
    <w:rsid w:val="00C85FCF"/>
    <w:rsid w:val="00C8694F"/>
    <w:rsid w:val="00C869D7"/>
    <w:rsid w:val="00C87FC6"/>
    <w:rsid w:val="00C901FB"/>
    <w:rsid w:val="00C90714"/>
    <w:rsid w:val="00C90DBA"/>
    <w:rsid w:val="00C90DCE"/>
    <w:rsid w:val="00C9112B"/>
    <w:rsid w:val="00C9150A"/>
    <w:rsid w:val="00C9152C"/>
    <w:rsid w:val="00C91530"/>
    <w:rsid w:val="00C916D7"/>
    <w:rsid w:val="00C91705"/>
    <w:rsid w:val="00C91E1B"/>
    <w:rsid w:val="00C91FAF"/>
    <w:rsid w:val="00C91FCE"/>
    <w:rsid w:val="00C9213B"/>
    <w:rsid w:val="00C92298"/>
    <w:rsid w:val="00C92385"/>
    <w:rsid w:val="00C92395"/>
    <w:rsid w:val="00C92766"/>
    <w:rsid w:val="00C92EF4"/>
    <w:rsid w:val="00C93067"/>
    <w:rsid w:val="00C933C4"/>
    <w:rsid w:val="00C935E3"/>
    <w:rsid w:val="00C93625"/>
    <w:rsid w:val="00C94225"/>
    <w:rsid w:val="00C94270"/>
    <w:rsid w:val="00C9454A"/>
    <w:rsid w:val="00C950AC"/>
    <w:rsid w:val="00C95B4B"/>
    <w:rsid w:val="00C9613A"/>
    <w:rsid w:val="00C96158"/>
    <w:rsid w:val="00C9691C"/>
    <w:rsid w:val="00C97019"/>
    <w:rsid w:val="00C971CE"/>
    <w:rsid w:val="00C972E9"/>
    <w:rsid w:val="00C9749C"/>
    <w:rsid w:val="00C97804"/>
    <w:rsid w:val="00C97A3A"/>
    <w:rsid w:val="00C97B6E"/>
    <w:rsid w:val="00C97C8A"/>
    <w:rsid w:val="00C97F7A"/>
    <w:rsid w:val="00CA0A30"/>
    <w:rsid w:val="00CA0FF0"/>
    <w:rsid w:val="00CA1387"/>
    <w:rsid w:val="00CA1794"/>
    <w:rsid w:val="00CA28E4"/>
    <w:rsid w:val="00CA2BA1"/>
    <w:rsid w:val="00CA2F85"/>
    <w:rsid w:val="00CA35F1"/>
    <w:rsid w:val="00CA46C6"/>
    <w:rsid w:val="00CA4998"/>
    <w:rsid w:val="00CA4F09"/>
    <w:rsid w:val="00CA5DE6"/>
    <w:rsid w:val="00CA6329"/>
    <w:rsid w:val="00CA6B69"/>
    <w:rsid w:val="00CA6E0C"/>
    <w:rsid w:val="00CA6E45"/>
    <w:rsid w:val="00CA6F46"/>
    <w:rsid w:val="00CA712B"/>
    <w:rsid w:val="00CA7217"/>
    <w:rsid w:val="00CA72F1"/>
    <w:rsid w:val="00CB13B6"/>
    <w:rsid w:val="00CB1878"/>
    <w:rsid w:val="00CB1A14"/>
    <w:rsid w:val="00CB1C7E"/>
    <w:rsid w:val="00CB1CF0"/>
    <w:rsid w:val="00CB2493"/>
    <w:rsid w:val="00CB2DF9"/>
    <w:rsid w:val="00CB305F"/>
    <w:rsid w:val="00CB3185"/>
    <w:rsid w:val="00CB36AA"/>
    <w:rsid w:val="00CB3712"/>
    <w:rsid w:val="00CB3720"/>
    <w:rsid w:val="00CB39C9"/>
    <w:rsid w:val="00CB3A7B"/>
    <w:rsid w:val="00CB4268"/>
    <w:rsid w:val="00CB4490"/>
    <w:rsid w:val="00CB4712"/>
    <w:rsid w:val="00CB4AF1"/>
    <w:rsid w:val="00CB5857"/>
    <w:rsid w:val="00CB5A59"/>
    <w:rsid w:val="00CB5BC6"/>
    <w:rsid w:val="00CB5FDD"/>
    <w:rsid w:val="00CC0B6F"/>
    <w:rsid w:val="00CC0D96"/>
    <w:rsid w:val="00CC10D1"/>
    <w:rsid w:val="00CC2003"/>
    <w:rsid w:val="00CC2459"/>
    <w:rsid w:val="00CC2DC4"/>
    <w:rsid w:val="00CC3135"/>
    <w:rsid w:val="00CC34DC"/>
    <w:rsid w:val="00CC3741"/>
    <w:rsid w:val="00CC376D"/>
    <w:rsid w:val="00CC423B"/>
    <w:rsid w:val="00CC4D70"/>
    <w:rsid w:val="00CC4E9F"/>
    <w:rsid w:val="00CC544A"/>
    <w:rsid w:val="00CC54DC"/>
    <w:rsid w:val="00CC551F"/>
    <w:rsid w:val="00CC5A42"/>
    <w:rsid w:val="00CC5C78"/>
    <w:rsid w:val="00CC64E8"/>
    <w:rsid w:val="00CC681C"/>
    <w:rsid w:val="00CC6CB2"/>
    <w:rsid w:val="00CC6E32"/>
    <w:rsid w:val="00CC6F3E"/>
    <w:rsid w:val="00CC75EF"/>
    <w:rsid w:val="00CC7BE3"/>
    <w:rsid w:val="00CD01D9"/>
    <w:rsid w:val="00CD0B0D"/>
    <w:rsid w:val="00CD0E82"/>
    <w:rsid w:val="00CD1111"/>
    <w:rsid w:val="00CD1D39"/>
    <w:rsid w:val="00CD221E"/>
    <w:rsid w:val="00CD2E41"/>
    <w:rsid w:val="00CD32A2"/>
    <w:rsid w:val="00CD388F"/>
    <w:rsid w:val="00CD468B"/>
    <w:rsid w:val="00CD48B0"/>
    <w:rsid w:val="00CD49DA"/>
    <w:rsid w:val="00CD4BE1"/>
    <w:rsid w:val="00CD4CBC"/>
    <w:rsid w:val="00CD4E15"/>
    <w:rsid w:val="00CD531B"/>
    <w:rsid w:val="00CD5821"/>
    <w:rsid w:val="00CD5FC0"/>
    <w:rsid w:val="00CD5FFA"/>
    <w:rsid w:val="00CD60E2"/>
    <w:rsid w:val="00CD61D4"/>
    <w:rsid w:val="00CE077E"/>
    <w:rsid w:val="00CE08D6"/>
    <w:rsid w:val="00CE0A1A"/>
    <w:rsid w:val="00CE0A2D"/>
    <w:rsid w:val="00CE1097"/>
    <w:rsid w:val="00CE1272"/>
    <w:rsid w:val="00CE13C8"/>
    <w:rsid w:val="00CE16A1"/>
    <w:rsid w:val="00CE174A"/>
    <w:rsid w:val="00CE17C0"/>
    <w:rsid w:val="00CE18E0"/>
    <w:rsid w:val="00CE1FDD"/>
    <w:rsid w:val="00CE27A5"/>
    <w:rsid w:val="00CE28FA"/>
    <w:rsid w:val="00CE29D5"/>
    <w:rsid w:val="00CE2B2B"/>
    <w:rsid w:val="00CE2D4E"/>
    <w:rsid w:val="00CE3071"/>
    <w:rsid w:val="00CE30F2"/>
    <w:rsid w:val="00CE31F2"/>
    <w:rsid w:val="00CE3275"/>
    <w:rsid w:val="00CE37B0"/>
    <w:rsid w:val="00CE37B7"/>
    <w:rsid w:val="00CE3917"/>
    <w:rsid w:val="00CE3A0F"/>
    <w:rsid w:val="00CE4453"/>
    <w:rsid w:val="00CE515B"/>
    <w:rsid w:val="00CE52CE"/>
    <w:rsid w:val="00CE5708"/>
    <w:rsid w:val="00CE5C2F"/>
    <w:rsid w:val="00CE5F58"/>
    <w:rsid w:val="00CE62AB"/>
    <w:rsid w:val="00CE6D6C"/>
    <w:rsid w:val="00CE77B6"/>
    <w:rsid w:val="00CF0309"/>
    <w:rsid w:val="00CF05A4"/>
    <w:rsid w:val="00CF0934"/>
    <w:rsid w:val="00CF0DB0"/>
    <w:rsid w:val="00CF1008"/>
    <w:rsid w:val="00CF15D5"/>
    <w:rsid w:val="00CF16AB"/>
    <w:rsid w:val="00CF1A1E"/>
    <w:rsid w:val="00CF2A57"/>
    <w:rsid w:val="00CF2C2C"/>
    <w:rsid w:val="00CF2FB7"/>
    <w:rsid w:val="00CF2FE8"/>
    <w:rsid w:val="00CF32AD"/>
    <w:rsid w:val="00CF3452"/>
    <w:rsid w:val="00CF3BE9"/>
    <w:rsid w:val="00CF3D1A"/>
    <w:rsid w:val="00CF447F"/>
    <w:rsid w:val="00CF4CE3"/>
    <w:rsid w:val="00CF4D3D"/>
    <w:rsid w:val="00CF4F7A"/>
    <w:rsid w:val="00CF53B3"/>
    <w:rsid w:val="00CF582A"/>
    <w:rsid w:val="00CF64F7"/>
    <w:rsid w:val="00CF681E"/>
    <w:rsid w:val="00CF7721"/>
    <w:rsid w:val="00CF7901"/>
    <w:rsid w:val="00CF7EDB"/>
    <w:rsid w:val="00D00FE4"/>
    <w:rsid w:val="00D01411"/>
    <w:rsid w:val="00D024E1"/>
    <w:rsid w:val="00D0265D"/>
    <w:rsid w:val="00D027B4"/>
    <w:rsid w:val="00D02E82"/>
    <w:rsid w:val="00D03198"/>
    <w:rsid w:val="00D034FA"/>
    <w:rsid w:val="00D03F6A"/>
    <w:rsid w:val="00D0449C"/>
    <w:rsid w:val="00D04821"/>
    <w:rsid w:val="00D057F0"/>
    <w:rsid w:val="00D05969"/>
    <w:rsid w:val="00D05BF8"/>
    <w:rsid w:val="00D05E75"/>
    <w:rsid w:val="00D0751E"/>
    <w:rsid w:val="00D0779C"/>
    <w:rsid w:val="00D0792C"/>
    <w:rsid w:val="00D07BB6"/>
    <w:rsid w:val="00D07C81"/>
    <w:rsid w:val="00D10038"/>
    <w:rsid w:val="00D10595"/>
    <w:rsid w:val="00D1063E"/>
    <w:rsid w:val="00D10FC2"/>
    <w:rsid w:val="00D117BE"/>
    <w:rsid w:val="00D11AA6"/>
    <w:rsid w:val="00D1200A"/>
    <w:rsid w:val="00D120E7"/>
    <w:rsid w:val="00D1277E"/>
    <w:rsid w:val="00D1299A"/>
    <w:rsid w:val="00D138D1"/>
    <w:rsid w:val="00D13DF0"/>
    <w:rsid w:val="00D13EBC"/>
    <w:rsid w:val="00D14306"/>
    <w:rsid w:val="00D148FA"/>
    <w:rsid w:val="00D14FD3"/>
    <w:rsid w:val="00D1506F"/>
    <w:rsid w:val="00D15149"/>
    <w:rsid w:val="00D15FBD"/>
    <w:rsid w:val="00D165DA"/>
    <w:rsid w:val="00D16A18"/>
    <w:rsid w:val="00D16A65"/>
    <w:rsid w:val="00D17573"/>
    <w:rsid w:val="00D179CB"/>
    <w:rsid w:val="00D20691"/>
    <w:rsid w:val="00D2074A"/>
    <w:rsid w:val="00D20A42"/>
    <w:rsid w:val="00D20FCA"/>
    <w:rsid w:val="00D21053"/>
    <w:rsid w:val="00D21DE6"/>
    <w:rsid w:val="00D22383"/>
    <w:rsid w:val="00D22682"/>
    <w:rsid w:val="00D24751"/>
    <w:rsid w:val="00D25117"/>
    <w:rsid w:val="00D255A1"/>
    <w:rsid w:val="00D25C65"/>
    <w:rsid w:val="00D262E6"/>
    <w:rsid w:val="00D2633A"/>
    <w:rsid w:val="00D265AF"/>
    <w:rsid w:val="00D26DD5"/>
    <w:rsid w:val="00D26F44"/>
    <w:rsid w:val="00D2719E"/>
    <w:rsid w:val="00D272E4"/>
    <w:rsid w:val="00D30246"/>
    <w:rsid w:val="00D3037F"/>
    <w:rsid w:val="00D3048D"/>
    <w:rsid w:val="00D30D4C"/>
    <w:rsid w:val="00D30DAB"/>
    <w:rsid w:val="00D31034"/>
    <w:rsid w:val="00D31273"/>
    <w:rsid w:val="00D31521"/>
    <w:rsid w:val="00D317A4"/>
    <w:rsid w:val="00D31DF2"/>
    <w:rsid w:val="00D32D50"/>
    <w:rsid w:val="00D33CD4"/>
    <w:rsid w:val="00D33EE2"/>
    <w:rsid w:val="00D341CA"/>
    <w:rsid w:val="00D347D4"/>
    <w:rsid w:val="00D34E05"/>
    <w:rsid w:val="00D354C9"/>
    <w:rsid w:val="00D3594C"/>
    <w:rsid w:val="00D35BF5"/>
    <w:rsid w:val="00D36280"/>
    <w:rsid w:val="00D36A6D"/>
    <w:rsid w:val="00D36A70"/>
    <w:rsid w:val="00D36DB8"/>
    <w:rsid w:val="00D37023"/>
    <w:rsid w:val="00D37FF0"/>
    <w:rsid w:val="00D40549"/>
    <w:rsid w:val="00D406B1"/>
    <w:rsid w:val="00D40BC7"/>
    <w:rsid w:val="00D4201A"/>
    <w:rsid w:val="00D424A0"/>
    <w:rsid w:val="00D42596"/>
    <w:rsid w:val="00D42C19"/>
    <w:rsid w:val="00D43AA8"/>
    <w:rsid w:val="00D43F41"/>
    <w:rsid w:val="00D43FB3"/>
    <w:rsid w:val="00D4414F"/>
    <w:rsid w:val="00D441AE"/>
    <w:rsid w:val="00D44AD3"/>
    <w:rsid w:val="00D44FD4"/>
    <w:rsid w:val="00D4505C"/>
    <w:rsid w:val="00D45223"/>
    <w:rsid w:val="00D454E0"/>
    <w:rsid w:val="00D458DE"/>
    <w:rsid w:val="00D45A44"/>
    <w:rsid w:val="00D45DE2"/>
    <w:rsid w:val="00D45F79"/>
    <w:rsid w:val="00D46E4B"/>
    <w:rsid w:val="00D47579"/>
    <w:rsid w:val="00D5010E"/>
    <w:rsid w:val="00D50121"/>
    <w:rsid w:val="00D513D2"/>
    <w:rsid w:val="00D51607"/>
    <w:rsid w:val="00D51D44"/>
    <w:rsid w:val="00D52441"/>
    <w:rsid w:val="00D5254F"/>
    <w:rsid w:val="00D53018"/>
    <w:rsid w:val="00D5358E"/>
    <w:rsid w:val="00D53980"/>
    <w:rsid w:val="00D53C19"/>
    <w:rsid w:val="00D5401E"/>
    <w:rsid w:val="00D543DE"/>
    <w:rsid w:val="00D5447F"/>
    <w:rsid w:val="00D54725"/>
    <w:rsid w:val="00D54D9E"/>
    <w:rsid w:val="00D54F35"/>
    <w:rsid w:val="00D553D1"/>
    <w:rsid w:val="00D56112"/>
    <w:rsid w:val="00D56209"/>
    <w:rsid w:val="00D56278"/>
    <w:rsid w:val="00D56AB2"/>
    <w:rsid w:val="00D56F15"/>
    <w:rsid w:val="00D5700A"/>
    <w:rsid w:val="00D57139"/>
    <w:rsid w:val="00D57433"/>
    <w:rsid w:val="00D57723"/>
    <w:rsid w:val="00D577B7"/>
    <w:rsid w:val="00D57910"/>
    <w:rsid w:val="00D60220"/>
    <w:rsid w:val="00D602EF"/>
    <w:rsid w:val="00D605AB"/>
    <w:rsid w:val="00D61169"/>
    <w:rsid w:val="00D612E1"/>
    <w:rsid w:val="00D61450"/>
    <w:rsid w:val="00D62821"/>
    <w:rsid w:val="00D62D88"/>
    <w:rsid w:val="00D62EDC"/>
    <w:rsid w:val="00D62F3C"/>
    <w:rsid w:val="00D63075"/>
    <w:rsid w:val="00D632BC"/>
    <w:rsid w:val="00D63A03"/>
    <w:rsid w:val="00D6433B"/>
    <w:rsid w:val="00D6468B"/>
    <w:rsid w:val="00D64831"/>
    <w:rsid w:val="00D64E79"/>
    <w:rsid w:val="00D6519E"/>
    <w:rsid w:val="00D6568F"/>
    <w:rsid w:val="00D658F4"/>
    <w:rsid w:val="00D65B48"/>
    <w:rsid w:val="00D6736B"/>
    <w:rsid w:val="00D673D2"/>
    <w:rsid w:val="00D67FF4"/>
    <w:rsid w:val="00D7028B"/>
    <w:rsid w:val="00D705F4"/>
    <w:rsid w:val="00D70843"/>
    <w:rsid w:val="00D70951"/>
    <w:rsid w:val="00D71186"/>
    <w:rsid w:val="00D715DC"/>
    <w:rsid w:val="00D719BC"/>
    <w:rsid w:val="00D71A43"/>
    <w:rsid w:val="00D71BB6"/>
    <w:rsid w:val="00D71BFA"/>
    <w:rsid w:val="00D71FD6"/>
    <w:rsid w:val="00D72180"/>
    <w:rsid w:val="00D721FA"/>
    <w:rsid w:val="00D72CD0"/>
    <w:rsid w:val="00D72D7B"/>
    <w:rsid w:val="00D73B11"/>
    <w:rsid w:val="00D73C3A"/>
    <w:rsid w:val="00D73D42"/>
    <w:rsid w:val="00D73E36"/>
    <w:rsid w:val="00D741B1"/>
    <w:rsid w:val="00D744BC"/>
    <w:rsid w:val="00D7489B"/>
    <w:rsid w:val="00D7493E"/>
    <w:rsid w:val="00D74EC5"/>
    <w:rsid w:val="00D7502E"/>
    <w:rsid w:val="00D766C2"/>
    <w:rsid w:val="00D76C3A"/>
    <w:rsid w:val="00D76F82"/>
    <w:rsid w:val="00D80457"/>
    <w:rsid w:val="00D80606"/>
    <w:rsid w:val="00D80D9A"/>
    <w:rsid w:val="00D80E7D"/>
    <w:rsid w:val="00D81807"/>
    <w:rsid w:val="00D81A4C"/>
    <w:rsid w:val="00D81BA0"/>
    <w:rsid w:val="00D824FA"/>
    <w:rsid w:val="00D8286E"/>
    <w:rsid w:val="00D829AF"/>
    <w:rsid w:val="00D830A2"/>
    <w:rsid w:val="00D831B3"/>
    <w:rsid w:val="00D83B8E"/>
    <w:rsid w:val="00D83F01"/>
    <w:rsid w:val="00D84BA7"/>
    <w:rsid w:val="00D84C09"/>
    <w:rsid w:val="00D86226"/>
    <w:rsid w:val="00D8651E"/>
    <w:rsid w:val="00D86B4B"/>
    <w:rsid w:val="00D86B8C"/>
    <w:rsid w:val="00D86CB7"/>
    <w:rsid w:val="00D86CE4"/>
    <w:rsid w:val="00D86D5D"/>
    <w:rsid w:val="00D870A5"/>
    <w:rsid w:val="00D87750"/>
    <w:rsid w:val="00D87889"/>
    <w:rsid w:val="00D87A5A"/>
    <w:rsid w:val="00D87BB1"/>
    <w:rsid w:val="00D87FFC"/>
    <w:rsid w:val="00D9043A"/>
    <w:rsid w:val="00D90897"/>
    <w:rsid w:val="00D90A26"/>
    <w:rsid w:val="00D90CF4"/>
    <w:rsid w:val="00D921DC"/>
    <w:rsid w:val="00D92AAE"/>
    <w:rsid w:val="00D92D74"/>
    <w:rsid w:val="00D92F4F"/>
    <w:rsid w:val="00D936DC"/>
    <w:rsid w:val="00D93765"/>
    <w:rsid w:val="00D9450D"/>
    <w:rsid w:val="00D94708"/>
    <w:rsid w:val="00D949BE"/>
    <w:rsid w:val="00D94B1D"/>
    <w:rsid w:val="00D95455"/>
    <w:rsid w:val="00D956E1"/>
    <w:rsid w:val="00D95A59"/>
    <w:rsid w:val="00D95ECF"/>
    <w:rsid w:val="00D9621F"/>
    <w:rsid w:val="00D96361"/>
    <w:rsid w:val="00D96516"/>
    <w:rsid w:val="00D965F8"/>
    <w:rsid w:val="00D96DF2"/>
    <w:rsid w:val="00D97E4F"/>
    <w:rsid w:val="00D97FFD"/>
    <w:rsid w:val="00DA03C1"/>
    <w:rsid w:val="00DA0518"/>
    <w:rsid w:val="00DA0B19"/>
    <w:rsid w:val="00DA0C9E"/>
    <w:rsid w:val="00DA0D3E"/>
    <w:rsid w:val="00DA0E7A"/>
    <w:rsid w:val="00DA0EBB"/>
    <w:rsid w:val="00DA1243"/>
    <w:rsid w:val="00DA1806"/>
    <w:rsid w:val="00DA246C"/>
    <w:rsid w:val="00DA260F"/>
    <w:rsid w:val="00DA2A77"/>
    <w:rsid w:val="00DA2D2F"/>
    <w:rsid w:val="00DA2DDC"/>
    <w:rsid w:val="00DA3459"/>
    <w:rsid w:val="00DA3729"/>
    <w:rsid w:val="00DA3962"/>
    <w:rsid w:val="00DA39A8"/>
    <w:rsid w:val="00DA46AB"/>
    <w:rsid w:val="00DA49F6"/>
    <w:rsid w:val="00DA4B8C"/>
    <w:rsid w:val="00DA4E59"/>
    <w:rsid w:val="00DA5F9F"/>
    <w:rsid w:val="00DA6258"/>
    <w:rsid w:val="00DA64E6"/>
    <w:rsid w:val="00DA667C"/>
    <w:rsid w:val="00DA674B"/>
    <w:rsid w:val="00DA674E"/>
    <w:rsid w:val="00DA6DB7"/>
    <w:rsid w:val="00DA7A18"/>
    <w:rsid w:val="00DA7CB1"/>
    <w:rsid w:val="00DA7F4C"/>
    <w:rsid w:val="00DB0808"/>
    <w:rsid w:val="00DB096E"/>
    <w:rsid w:val="00DB0B2F"/>
    <w:rsid w:val="00DB1154"/>
    <w:rsid w:val="00DB1BC1"/>
    <w:rsid w:val="00DB2479"/>
    <w:rsid w:val="00DB3279"/>
    <w:rsid w:val="00DB3520"/>
    <w:rsid w:val="00DB356F"/>
    <w:rsid w:val="00DB3702"/>
    <w:rsid w:val="00DB3E17"/>
    <w:rsid w:val="00DB46E0"/>
    <w:rsid w:val="00DB5C30"/>
    <w:rsid w:val="00DB5FC8"/>
    <w:rsid w:val="00DB5FD1"/>
    <w:rsid w:val="00DB6682"/>
    <w:rsid w:val="00DB726F"/>
    <w:rsid w:val="00DB7EA1"/>
    <w:rsid w:val="00DC0037"/>
    <w:rsid w:val="00DC0FE0"/>
    <w:rsid w:val="00DC1A27"/>
    <w:rsid w:val="00DC1D9E"/>
    <w:rsid w:val="00DC21E9"/>
    <w:rsid w:val="00DC229B"/>
    <w:rsid w:val="00DC26F9"/>
    <w:rsid w:val="00DC28D9"/>
    <w:rsid w:val="00DC35D7"/>
    <w:rsid w:val="00DC35E8"/>
    <w:rsid w:val="00DC3659"/>
    <w:rsid w:val="00DC3888"/>
    <w:rsid w:val="00DC3A1D"/>
    <w:rsid w:val="00DC3F41"/>
    <w:rsid w:val="00DC479C"/>
    <w:rsid w:val="00DC5425"/>
    <w:rsid w:val="00DC5644"/>
    <w:rsid w:val="00DC5857"/>
    <w:rsid w:val="00DC5ADE"/>
    <w:rsid w:val="00DC5D98"/>
    <w:rsid w:val="00DC5E43"/>
    <w:rsid w:val="00DC652F"/>
    <w:rsid w:val="00DC65B5"/>
    <w:rsid w:val="00DC6642"/>
    <w:rsid w:val="00DC74F9"/>
    <w:rsid w:val="00DC7A81"/>
    <w:rsid w:val="00DC7B88"/>
    <w:rsid w:val="00DD0060"/>
    <w:rsid w:val="00DD05F8"/>
    <w:rsid w:val="00DD066D"/>
    <w:rsid w:val="00DD07B9"/>
    <w:rsid w:val="00DD13FE"/>
    <w:rsid w:val="00DD1687"/>
    <w:rsid w:val="00DD1D07"/>
    <w:rsid w:val="00DD1FA1"/>
    <w:rsid w:val="00DD2424"/>
    <w:rsid w:val="00DD2A14"/>
    <w:rsid w:val="00DD3104"/>
    <w:rsid w:val="00DD310F"/>
    <w:rsid w:val="00DD3345"/>
    <w:rsid w:val="00DD3A27"/>
    <w:rsid w:val="00DD419B"/>
    <w:rsid w:val="00DD4C40"/>
    <w:rsid w:val="00DD4EA2"/>
    <w:rsid w:val="00DD5114"/>
    <w:rsid w:val="00DD598D"/>
    <w:rsid w:val="00DD5A6B"/>
    <w:rsid w:val="00DD5E19"/>
    <w:rsid w:val="00DD5E1B"/>
    <w:rsid w:val="00DD603B"/>
    <w:rsid w:val="00DD6751"/>
    <w:rsid w:val="00DD6794"/>
    <w:rsid w:val="00DD6A3C"/>
    <w:rsid w:val="00DD6AA0"/>
    <w:rsid w:val="00DD73F3"/>
    <w:rsid w:val="00DD7460"/>
    <w:rsid w:val="00DD7887"/>
    <w:rsid w:val="00DD7ABA"/>
    <w:rsid w:val="00DD7CFD"/>
    <w:rsid w:val="00DE130E"/>
    <w:rsid w:val="00DE1518"/>
    <w:rsid w:val="00DE1A62"/>
    <w:rsid w:val="00DE1AFE"/>
    <w:rsid w:val="00DE31B0"/>
    <w:rsid w:val="00DE33F1"/>
    <w:rsid w:val="00DE3926"/>
    <w:rsid w:val="00DE3CE7"/>
    <w:rsid w:val="00DE3F7D"/>
    <w:rsid w:val="00DE41B0"/>
    <w:rsid w:val="00DE4274"/>
    <w:rsid w:val="00DE4EB5"/>
    <w:rsid w:val="00DE53DD"/>
    <w:rsid w:val="00DE5702"/>
    <w:rsid w:val="00DE5784"/>
    <w:rsid w:val="00DE581C"/>
    <w:rsid w:val="00DE5A32"/>
    <w:rsid w:val="00DE5D6A"/>
    <w:rsid w:val="00DE5EA0"/>
    <w:rsid w:val="00DE690A"/>
    <w:rsid w:val="00DE6A6D"/>
    <w:rsid w:val="00DE721B"/>
    <w:rsid w:val="00DE7753"/>
    <w:rsid w:val="00DE7EAF"/>
    <w:rsid w:val="00DF1271"/>
    <w:rsid w:val="00DF1727"/>
    <w:rsid w:val="00DF1E06"/>
    <w:rsid w:val="00DF218F"/>
    <w:rsid w:val="00DF23D5"/>
    <w:rsid w:val="00DF269A"/>
    <w:rsid w:val="00DF379A"/>
    <w:rsid w:val="00DF46EC"/>
    <w:rsid w:val="00DF53AA"/>
    <w:rsid w:val="00DF6281"/>
    <w:rsid w:val="00DF6548"/>
    <w:rsid w:val="00DF67CC"/>
    <w:rsid w:val="00DF7081"/>
    <w:rsid w:val="00DF7372"/>
    <w:rsid w:val="00DF7A55"/>
    <w:rsid w:val="00DF7BC7"/>
    <w:rsid w:val="00E0021F"/>
    <w:rsid w:val="00E0029F"/>
    <w:rsid w:val="00E0095A"/>
    <w:rsid w:val="00E01B4C"/>
    <w:rsid w:val="00E020BB"/>
    <w:rsid w:val="00E021CF"/>
    <w:rsid w:val="00E02BF4"/>
    <w:rsid w:val="00E02CC2"/>
    <w:rsid w:val="00E03585"/>
    <w:rsid w:val="00E03BD6"/>
    <w:rsid w:val="00E03D93"/>
    <w:rsid w:val="00E03EDE"/>
    <w:rsid w:val="00E0414F"/>
    <w:rsid w:val="00E047B4"/>
    <w:rsid w:val="00E0494C"/>
    <w:rsid w:val="00E04D06"/>
    <w:rsid w:val="00E04FBD"/>
    <w:rsid w:val="00E05104"/>
    <w:rsid w:val="00E05127"/>
    <w:rsid w:val="00E053A1"/>
    <w:rsid w:val="00E05964"/>
    <w:rsid w:val="00E061D5"/>
    <w:rsid w:val="00E0689B"/>
    <w:rsid w:val="00E06D6D"/>
    <w:rsid w:val="00E06F05"/>
    <w:rsid w:val="00E07625"/>
    <w:rsid w:val="00E07AD9"/>
    <w:rsid w:val="00E07B44"/>
    <w:rsid w:val="00E07F00"/>
    <w:rsid w:val="00E07F2D"/>
    <w:rsid w:val="00E1089D"/>
    <w:rsid w:val="00E10BB8"/>
    <w:rsid w:val="00E10BEF"/>
    <w:rsid w:val="00E10DCC"/>
    <w:rsid w:val="00E10F9A"/>
    <w:rsid w:val="00E12780"/>
    <w:rsid w:val="00E12848"/>
    <w:rsid w:val="00E12E9D"/>
    <w:rsid w:val="00E130A7"/>
    <w:rsid w:val="00E13412"/>
    <w:rsid w:val="00E1370A"/>
    <w:rsid w:val="00E13901"/>
    <w:rsid w:val="00E13AA8"/>
    <w:rsid w:val="00E13AE9"/>
    <w:rsid w:val="00E15E9C"/>
    <w:rsid w:val="00E161E7"/>
    <w:rsid w:val="00E165ED"/>
    <w:rsid w:val="00E17246"/>
    <w:rsid w:val="00E174AA"/>
    <w:rsid w:val="00E178A5"/>
    <w:rsid w:val="00E17BD3"/>
    <w:rsid w:val="00E20797"/>
    <w:rsid w:val="00E21BB9"/>
    <w:rsid w:val="00E22668"/>
    <w:rsid w:val="00E23CE6"/>
    <w:rsid w:val="00E23E84"/>
    <w:rsid w:val="00E243E0"/>
    <w:rsid w:val="00E25197"/>
    <w:rsid w:val="00E2570E"/>
    <w:rsid w:val="00E25F59"/>
    <w:rsid w:val="00E27675"/>
    <w:rsid w:val="00E27840"/>
    <w:rsid w:val="00E27A1F"/>
    <w:rsid w:val="00E27C17"/>
    <w:rsid w:val="00E27CAC"/>
    <w:rsid w:val="00E3027A"/>
    <w:rsid w:val="00E30586"/>
    <w:rsid w:val="00E3087E"/>
    <w:rsid w:val="00E30919"/>
    <w:rsid w:val="00E31024"/>
    <w:rsid w:val="00E31B7E"/>
    <w:rsid w:val="00E31E23"/>
    <w:rsid w:val="00E31FDC"/>
    <w:rsid w:val="00E32BBE"/>
    <w:rsid w:val="00E332C2"/>
    <w:rsid w:val="00E33EBA"/>
    <w:rsid w:val="00E3478D"/>
    <w:rsid w:val="00E349A4"/>
    <w:rsid w:val="00E34EBF"/>
    <w:rsid w:val="00E35D5B"/>
    <w:rsid w:val="00E3616E"/>
    <w:rsid w:val="00E361BE"/>
    <w:rsid w:val="00E361E7"/>
    <w:rsid w:val="00E37442"/>
    <w:rsid w:val="00E3786A"/>
    <w:rsid w:val="00E37D81"/>
    <w:rsid w:val="00E404C2"/>
    <w:rsid w:val="00E4072C"/>
    <w:rsid w:val="00E407C5"/>
    <w:rsid w:val="00E40EC1"/>
    <w:rsid w:val="00E41001"/>
    <w:rsid w:val="00E413CE"/>
    <w:rsid w:val="00E422C4"/>
    <w:rsid w:val="00E43524"/>
    <w:rsid w:val="00E43772"/>
    <w:rsid w:val="00E437BE"/>
    <w:rsid w:val="00E439B5"/>
    <w:rsid w:val="00E440F1"/>
    <w:rsid w:val="00E44970"/>
    <w:rsid w:val="00E44DE2"/>
    <w:rsid w:val="00E456BE"/>
    <w:rsid w:val="00E457B1"/>
    <w:rsid w:val="00E457F3"/>
    <w:rsid w:val="00E458C5"/>
    <w:rsid w:val="00E4613F"/>
    <w:rsid w:val="00E46231"/>
    <w:rsid w:val="00E46646"/>
    <w:rsid w:val="00E4665A"/>
    <w:rsid w:val="00E46750"/>
    <w:rsid w:val="00E46930"/>
    <w:rsid w:val="00E47211"/>
    <w:rsid w:val="00E47826"/>
    <w:rsid w:val="00E47E8A"/>
    <w:rsid w:val="00E47ECD"/>
    <w:rsid w:val="00E50031"/>
    <w:rsid w:val="00E50281"/>
    <w:rsid w:val="00E507C3"/>
    <w:rsid w:val="00E50BF6"/>
    <w:rsid w:val="00E50D39"/>
    <w:rsid w:val="00E50E3D"/>
    <w:rsid w:val="00E522FA"/>
    <w:rsid w:val="00E528DC"/>
    <w:rsid w:val="00E52ABE"/>
    <w:rsid w:val="00E53ACF"/>
    <w:rsid w:val="00E54914"/>
    <w:rsid w:val="00E54C7F"/>
    <w:rsid w:val="00E551E7"/>
    <w:rsid w:val="00E55734"/>
    <w:rsid w:val="00E55DDD"/>
    <w:rsid w:val="00E56709"/>
    <w:rsid w:val="00E568DA"/>
    <w:rsid w:val="00E57308"/>
    <w:rsid w:val="00E5750E"/>
    <w:rsid w:val="00E57A89"/>
    <w:rsid w:val="00E603F3"/>
    <w:rsid w:val="00E6105E"/>
    <w:rsid w:val="00E61658"/>
    <w:rsid w:val="00E62329"/>
    <w:rsid w:val="00E623AC"/>
    <w:rsid w:val="00E62F52"/>
    <w:rsid w:val="00E63069"/>
    <w:rsid w:val="00E63371"/>
    <w:rsid w:val="00E63AEA"/>
    <w:rsid w:val="00E63B30"/>
    <w:rsid w:val="00E6476F"/>
    <w:rsid w:val="00E6494E"/>
    <w:rsid w:val="00E64ECA"/>
    <w:rsid w:val="00E65C67"/>
    <w:rsid w:val="00E65CF7"/>
    <w:rsid w:val="00E65F05"/>
    <w:rsid w:val="00E66118"/>
    <w:rsid w:val="00E672AE"/>
    <w:rsid w:val="00E67719"/>
    <w:rsid w:val="00E677F4"/>
    <w:rsid w:val="00E67C02"/>
    <w:rsid w:val="00E67D99"/>
    <w:rsid w:val="00E67ECC"/>
    <w:rsid w:val="00E702C6"/>
    <w:rsid w:val="00E704AC"/>
    <w:rsid w:val="00E70676"/>
    <w:rsid w:val="00E70C78"/>
    <w:rsid w:val="00E71E4B"/>
    <w:rsid w:val="00E7215D"/>
    <w:rsid w:val="00E72639"/>
    <w:rsid w:val="00E72F11"/>
    <w:rsid w:val="00E7330A"/>
    <w:rsid w:val="00E73D08"/>
    <w:rsid w:val="00E73EF8"/>
    <w:rsid w:val="00E740CB"/>
    <w:rsid w:val="00E74AE7"/>
    <w:rsid w:val="00E74E50"/>
    <w:rsid w:val="00E74E8B"/>
    <w:rsid w:val="00E75CA4"/>
    <w:rsid w:val="00E76407"/>
    <w:rsid w:val="00E76527"/>
    <w:rsid w:val="00E766B3"/>
    <w:rsid w:val="00E76941"/>
    <w:rsid w:val="00E76A3A"/>
    <w:rsid w:val="00E76B29"/>
    <w:rsid w:val="00E76DF6"/>
    <w:rsid w:val="00E770DF"/>
    <w:rsid w:val="00E7773C"/>
    <w:rsid w:val="00E77750"/>
    <w:rsid w:val="00E777CF"/>
    <w:rsid w:val="00E778C7"/>
    <w:rsid w:val="00E800A8"/>
    <w:rsid w:val="00E807C4"/>
    <w:rsid w:val="00E80FCF"/>
    <w:rsid w:val="00E81296"/>
    <w:rsid w:val="00E81437"/>
    <w:rsid w:val="00E81649"/>
    <w:rsid w:val="00E81D91"/>
    <w:rsid w:val="00E824F5"/>
    <w:rsid w:val="00E82A72"/>
    <w:rsid w:val="00E82DBE"/>
    <w:rsid w:val="00E83427"/>
    <w:rsid w:val="00E83B8B"/>
    <w:rsid w:val="00E83BBB"/>
    <w:rsid w:val="00E844B7"/>
    <w:rsid w:val="00E84BDA"/>
    <w:rsid w:val="00E85796"/>
    <w:rsid w:val="00E859CD"/>
    <w:rsid w:val="00E85A65"/>
    <w:rsid w:val="00E85DDB"/>
    <w:rsid w:val="00E85F92"/>
    <w:rsid w:val="00E86347"/>
    <w:rsid w:val="00E90213"/>
    <w:rsid w:val="00E9041C"/>
    <w:rsid w:val="00E91409"/>
    <w:rsid w:val="00E91605"/>
    <w:rsid w:val="00E91EBF"/>
    <w:rsid w:val="00E928D9"/>
    <w:rsid w:val="00E92C4E"/>
    <w:rsid w:val="00E93A50"/>
    <w:rsid w:val="00E93D3A"/>
    <w:rsid w:val="00E94326"/>
    <w:rsid w:val="00E95918"/>
    <w:rsid w:val="00E95D7B"/>
    <w:rsid w:val="00E96360"/>
    <w:rsid w:val="00E96623"/>
    <w:rsid w:val="00E9665B"/>
    <w:rsid w:val="00E96F4E"/>
    <w:rsid w:val="00E9761A"/>
    <w:rsid w:val="00E9766B"/>
    <w:rsid w:val="00E977FE"/>
    <w:rsid w:val="00EA090F"/>
    <w:rsid w:val="00EA0F98"/>
    <w:rsid w:val="00EA1502"/>
    <w:rsid w:val="00EA170F"/>
    <w:rsid w:val="00EA1C9A"/>
    <w:rsid w:val="00EA28E2"/>
    <w:rsid w:val="00EA29F0"/>
    <w:rsid w:val="00EA29F4"/>
    <w:rsid w:val="00EA2DBD"/>
    <w:rsid w:val="00EA3122"/>
    <w:rsid w:val="00EA3389"/>
    <w:rsid w:val="00EA39F9"/>
    <w:rsid w:val="00EA4171"/>
    <w:rsid w:val="00EA4630"/>
    <w:rsid w:val="00EA470C"/>
    <w:rsid w:val="00EA47E6"/>
    <w:rsid w:val="00EA4E52"/>
    <w:rsid w:val="00EA54F9"/>
    <w:rsid w:val="00EA5870"/>
    <w:rsid w:val="00EA5D5C"/>
    <w:rsid w:val="00EA60FA"/>
    <w:rsid w:val="00EA63FF"/>
    <w:rsid w:val="00EA6D8A"/>
    <w:rsid w:val="00EA6E38"/>
    <w:rsid w:val="00EA72C7"/>
    <w:rsid w:val="00EA77C4"/>
    <w:rsid w:val="00EA7A28"/>
    <w:rsid w:val="00EA7A47"/>
    <w:rsid w:val="00EB0C84"/>
    <w:rsid w:val="00EB0D5B"/>
    <w:rsid w:val="00EB0E7F"/>
    <w:rsid w:val="00EB1E2E"/>
    <w:rsid w:val="00EB2293"/>
    <w:rsid w:val="00EB2460"/>
    <w:rsid w:val="00EB32A4"/>
    <w:rsid w:val="00EB3661"/>
    <w:rsid w:val="00EB37E3"/>
    <w:rsid w:val="00EB3DE1"/>
    <w:rsid w:val="00EB3E2B"/>
    <w:rsid w:val="00EB4159"/>
    <w:rsid w:val="00EB4F80"/>
    <w:rsid w:val="00EB597B"/>
    <w:rsid w:val="00EB5C13"/>
    <w:rsid w:val="00EB6D77"/>
    <w:rsid w:val="00EB6EC5"/>
    <w:rsid w:val="00EB772B"/>
    <w:rsid w:val="00EB7DEA"/>
    <w:rsid w:val="00EC121F"/>
    <w:rsid w:val="00EC127B"/>
    <w:rsid w:val="00EC1FD3"/>
    <w:rsid w:val="00EC2637"/>
    <w:rsid w:val="00EC297E"/>
    <w:rsid w:val="00EC29C8"/>
    <w:rsid w:val="00EC2E19"/>
    <w:rsid w:val="00EC3FD5"/>
    <w:rsid w:val="00EC4862"/>
    <w:rsid w:val="00EC4FD0"/>
    <w:rsid w:val="00EC5B3F"/>
    <w:rsid w:val="00EC62E2"/>
    <w:rsid w:val="00EC6BB8"/>
    <w:rsid w:val="00EC6FF2"/>
    <w:rsid w:val="00EC7211"/>
    <w:rsid w:val="00EC7AB0"/>
    <w:rsid w:val="00ED056F"/>
    <w:rsid w:val="00ED0CB4"/>
    <w:rsid w:val="00ED0FB7"/>
    <w:rsid w:val="00ED0FF8"/>
    <w:rsid w:val="00ED0FF9"/>
    <w:rsid w:val="00ED1052"/>
    <w:rsid w:val="00ED118E"/>
    <w:rsid w:val="00ED177D"/>
    <w:rsid w:val="00ED242C"/>
    <w:rsid w:val="00ED2729"/>
    <w:rsid w:val="00ED2AA7"/>
    <w:rsid w:val="00ED2D6A"/>
    <w:rsid w:val="00ED2EBD"/>
    <w:rsid w:val="00ED3267"/>
    <w:rsid w:val="00ED37A5"/>
    <w:rsid w:val="00ED394A"/>
    <w:rsid w:val="00ED3B80"/>
    <w:rsid w:val="00ED3CAF"/>
    <w:rsid w:val="00ED5233"/>
    <w:rsid w:val="00ED5358"/>
    <w:rsid w:val="00ED5E2D"/>
    <w:rsid w:val="00ED64DF"/>
    <w:rsid w:val="00ED67FB"/>
    <w:rsid w:val="00ED6A7E"/>
    <w:rsid w:val="00ED6D2E"/>
    <w:rsid w:val="00EE002F"/>
    <w:rsid w:val="00EE069F"/>
    <w:rsid w:val="00EE105B"/>
    <w:rsid w:val="00EE1949"/>
    <w:rsid w:val="00EE19B2"/>
    <w:rsid w:val="00EE22FA"/>
    <w:rsid w:val="00EE2A8B"/>
    <w:rsid w:val="00EE365C"/>
    <w:rsid w:val="00EE36A6"/>
    <w:rsid w:val="00EE3EBC"/>
    <w:rsid w:val="00EE43D8"/>
    <w:rsid w:val="00EE43F8"/>
    <w:rsid w:val="00EE4575"/>
    <w:rsid w:val="00EE46B6"/>
    <w:rsid w:val="00EE48D5"/>
    <w:rsid w:val="00EE5658"/>
    <w:rsid w:val="00EE5C04"/>
    <w:rsid w:val="00EE5FC2"/>
    <w:rsid w:val="00EE61DC"/>
    <w:rsid w:val="00EE67D7"/>
    <w:rsid w:val="00EE6A3B"/>
    <w:rsid w:val="00EE6AEF"/>
    <w:rsid w:val="00EE6CA2"/>
    <w:rsid w:val="00EE7722"/>
    <w:rsid w:val="00EE798A"/>
    <w:rsid w:val="00EE7EE8"/>
    <w:rsid w:val="00EF00CA"/>
    <w:rsid w:val="00EF039D"/>
    <w:rsid w:val="00EF1191"/>
    <w:rsid w:val="00EF192F"/>
    <w:rsid w:val="00EF2F32"/>
    <w:rsid w:val="00EF2F49"/>
    <w:rsid w:val="00EF45F3"/>
    <w:rsid w:val="00EF486E"/>
    <w:rsid w:val="00EF4E45"/>
    <w:rsid w:val="00EF5138"/>
    <w:rsid w:val="00EF53CE"/>
    <w:rsid w:val="00EF560A"/>
    <w:rsid w:val="00EF6778"/>
    <w:rsid w:val="00EF6E2C"/>
    <w:rsid w:val="00EF6F6A"/>
    <w:rsid w:val="00EF764C"/>
    <w:rsid w:val="00EF7925"/>
    <w:rsid w:val="00EF797D"/>
    <w:rsid w:val="00EF7E3C"/>
    <w:rsid w:val="00F0027E"/>
    <w:rsid w:val="00F00657"/>
    <w:rsid w:val="00F00883"/>
    <w:rsid w:val="00F008C7"/>
    <w:rsid w:val="00F0122E"/>
    <w:rsid w:val="00F0152B"/>
    <w:rsid w:val="00F01945"/>
    <w:rsid w:val="00F01F39"/>
    <w:rsid w:val="00F0250E"/>
    <w:rsid w:val="00F02648"/>
    <w:rsid w:val="00F02F88"/>
    <w:rsid w:val="00F03D59"/>
    <w:rsid w:val="00F03E70"/>
    <w:rsid w:val="00F0409F"/>
    <w:rsid w:val="00F0443F"/>
    <w:rsid w:val="00F04A94"/>
    <w:rsid w:val="00F04C0C"/>
    <w:rsid w:val="00F04C39"/>
    <w:rsid w:val="00F05136"/>
    <w:rsid w:val="00F052CF"/>
    <w:rsid w:val="00F0563A"/>
    <w:rsid w:val="00F05765"/>
    <w:rsid w:val="00F05A22"/>
    <w:rsid w:val="00F05F85"/>
    <w:rsid w:val="00F05FAE"/>
    <w:rsid w:val="00F062F5"/>
    <w:rsid w:val="00F06657"/>
    <w:rsid w:val="00F06986"/>
    <w:rsid w:val="00F07E34"/>
    <w:rsid w:val="00F07E9C"/>
    <w:rsid w:val="00F10E38"/>
    <w:rsid w:val="00F10F7A"/>
    <w:rsid w:val="00F114A1"/>
    <w:rsid w:val="00F11879"/>
    <w:rsid w:val="00F11C00"/>
    <w:rsid w:val="00F11EED"/>
    <w:rsid w:val="00F11F3D"/>
    <w:rsid w:val="00F122E3"/>
    <w:rsid w:val="00F1272C"/>
    <w:rsid w:val="00F127A6"/>
    <w:rsid w:val="00F1338E"/>
    <w:rsid w:val="00F133A5"/>
    <w:rsid w:val="00F13643"/>
    <w:rsid w:val="00F138CA"/>
    <w:rsid w:val="00F13CB4"/>
    <w:rsid w:val="00F141AE"/>
    <w:rsid w:val="00F146B4"/>
    <w:rsid w:val="00F14B6C"/>
    <w:rsid w:val="00F152F2"/>
    <w:rsid w:val="00F15E07"/>
    <w:rsid w:val="00F15F8F"/>
    <w:rsid w:val="00F168DB"/>
    <w:rsid w:val="00F1698A"/>
    <w:rsid w:val="00F16A53"/>
    <w:rsid w:val="00F16D88"/>
    <w:rsid w:val="00F1711D"/>
    <w:rsid w:val="00F175A2"/>
    <w:rsid w:val="00F17A23"/>
    <w:rsid w:val="00F206C7"/>
    <w:rsid w:val="00F20A84"/>
    <w:rsid w:val="00F20CCC"/>
    <w:rsid w:val="00F21719"/>
    <w:rsid w:val="00F21C1E"/>
    <w:rsid w:val="00F22BAA"/>
    <w:rsid w:val="00F22CF2"/>
    <w:rsid w:val="00F235E3"/>
    <w:rsid w:val="00F23CD9"/>
    <w:rsid w:val="00F24C93"/>
    <w:rsid w:val="00F25323"/>
    <w:rsid w:val="00F2535F"/>
    <w:rsid w:val="00F25632"/>
    <w:rsid w:val="00F2580B"/>
    <w:rsid w:val="00F26E9C"/>
    <w:rsid w:val="00F26EBE"/>
    <w:rsid w:val="00F27142"/>
    <w:rsid w:val="00F27740"/>
    <w:rsid w:val="00F27FA6"/>
    <w:rsid w:val="00F30711"/>
    <w:rsid w:val="00F31450"/>
    <w:rsid w:val="00F318E6"/>
    <w:rsid w:val="00F31A97"/>
    <w:rsid w:val="00F31ACA"/>
    <w:rsid w:val="00F321DA"/>
    <w:rsid w:val="00F32307"/>
    <w:rsid w:val="00F3248C"/>
    <w:rsid w:val="00F32623"/>
    <w:rsid w:val="00F3291F"/>
    <w:rsid w:val="00F32E5A"/>
    <w:rsid w:val="00F33026"/>
    <w:rsid w:val="00F3327B"/>
    <w:rsid w:val="00F334FE"/>
    <w:rsid w:val="00F33C6F"/>
    <w:rsid w:val="00F34780"/>
    <w:rsid w:val="00F34850"/>
    <w:rsid w:val="00F358DE"/>
    <w:rsid w:val="00F36090"/>
    <w:rsid w:val="00F36849"/>
    <w:rsid w:val="00F36E1B"/>
    <w:rsid w:val="00F37E13"/>
    <w:rsid w:val="00F40C8E"/>
    <w:rsid w:val="00F40CB1"/>
    <w:rsid w:val="00F40F44"/>
    <w:rsid w:val="00F41103"/>
    <w:rsid w:val="00F41281"/>
    <w:rsid w:val="00F41D49"/>
    <w:rsid w:val="00F41DE8"/>
    <w:rsid w:val="00F41DFB"/>
    <w:rsid w:val="00F423B4"/>
    <w:rsid w:val="00F42777"/>
    <w:rsid w:val="00F42AFB"/>
    <w:rsid w:val="00F43184"/>
    <w:rsid w:val="00F43377"/>
    <w:rsid w:val="00F433B2"/>
    <w:rsid w:val="00F433F2"/>
    <w:rsid w:val="00F44206"/>
    <w:rsid w:val="00F44A2F"/>
    <w:rsid w:val="00F44A50"/>
    <w:rsid w:val="00F44F98"/>
    <w:rsid w:val="00F45983"/>
    <w:rsid w:val="00F45CFD"/>
    <w:rsid w:val="00F46489"/>
    <w:rsid w:val="00F464C0"/>
    <w:rsid w:val="00F468C4"/>
    <w:rsid w:val="00F46948"/>
    <w:rsid w:val="00F46B85"/>
    <w:rsid w:val="00F46F1D"/>
    <w:rsid w:val="00F47F00"/>
    <w:rsid w:val="00F50A4F"/>
    <w:rsid w:val="00F5108E"/>
    <w:rsid w:val="00F511FB"/>
    <w:rsid w:val="00F51386"/>
    <w:rsid w:val="00F51517"/>
    <w:rsid w:val="00F52859"/>
    <w:rsid w:val="00F52DEC"/>
    <w:rsid w:val="00F52ED3"/>
    <w:rsid w:val="00F53115"/>
    <w:rsid w:val="00F53236"/>
    <w:rsid w:val="00F534A9"/>
    <w:rsid w:val="00F53727"/>
    <w:rsid w:val="00F53A5D"/>
    <w:rsid w:val="00F5412E"/>
    <w:rsid w:val="00F54835"/>
    <w:rsid w:val="00F54CE6"/>
    <w:rsid w:val="00F55290"/>
    <w:rsid w:val="00F557CB"/>
    <w:rsid w:val="00F55C1D"/>
    <w:rsid w:val="00F56511"/>
    <w:rsid w:val="00F5740B"/>
    <w:rsid w:val="00F57B91"/>
    <w:rsid w:val="00F57D7A"/>
    <w:rsid w:val="00F60306"/>
    <w:rsid w:val="00F614B6"/>
    <w:rsid w:val="00F61C2A"/>
    <w:rsid w:val="00F62313"/>
    <w:rsid w:val="00F62783"/>
    <w:rsid w:val="00F6283D"/>
    <w:rsid w:val="00F62CA7"/>
    <w:rsid w:val="00F632C1"/>
    <w:rsid w:val="00F63451"/>
    <w:rsid w:val="00F63511"/>
    <w:rsid w:val="00F6359D"/>
    <w:rsid w:val="00F63A60"/>
    <w:rsid w:val="00F63F27"/>
    <w:rsid w:val="00F641BB"/>
    <w:rsid w:val="00F6566D"/>
    <w:rsid w:val="00F659E3"/>
    <w:rsid w:val="00F65E70"/>
    <w:rsid w:val="00F66196"/>
    <w:rsid w:val="00F66258"/>
    <w:rsid w:val="00F668D5"/>
    <w:rsid w:val="00F66FC2"/>
    <w:rsid w:val="00F67423"/>
    <w:rsid w:val="00F675C4"/>
    <w:rsid w:val="00F67CF1"/>
    <w:rsid w:val="00F67FF0"/>
    <w:rsid w:val="00F70719"/>
    <w:rsid w:val="00F70D37"/>
    <w:rsid w:val="00F714F1"/>
    <w:rsid w:val="00F7155B"/>
    <w:rsid w:val="00F71855"/>
    <w:rsid w:val="00F71E32"/>
    <w:rsid w:val="00F71F88"/>
    <w:rsid w:val="00F72A7A"/>
    <w:rsid w:val="00F72C75"/>
    <w:rsid w:val="00F73563"/>
    <w:rsid w:val="00F7476A"/>
    <w:rsid w:val="00F747A7"/>
    <w:rsid w:val="00F74C22"/>
    <w:rsid w:val="00F7588E"/>
    <w:rsid w:val="00F766F9"/>
    <w:rsid w:val="00F76CA3"/>
    <w:rsid w:val="00F76F49"/>
    <w:rsid w:val="00F771A8"/>
    <w:rsid w:val="00F773E4"/>
    <w:rsid w:val="00F77521"/>
    <w:rsid w:val="00F77D73"/>
    <w:rsid w:val="00F80C7D"/>
    <w:rsid w:val="00F80D9A"/>
    <w:rsid w:val="00F812DB"/>
    <w:rsid w:val="00F81428"/>
    <w:rsid w:val="00F820A5"/>
    <w:rsid w:val="00F821FC"/>
    <w:rsid w:val="00F829F0"/>
    <w:rsid w:val="00F82F61"/>
    <w:rsid w:val="00F83711"/>
    <w:rsid w:val="00F8434A"/>
    <w:rsid w:val="00F849CD"/>
    <w:rsid w:val="00F8592F"/>
    <w:rsid w:val="00F85C59"/>
    <w:rsid w:val="00F861CC"/>
    <w:rsid w:val="00F86693"/>
    <w:rsid w:val="00F86FB1"/>
    <w:rsid w:val="00F8747F"/>
    <w:rsid w:val="00F87483"/>
    <w:rsid w:val="00F91077"/>
    <w:rsid w:val="00F9268F"/>
    <w:rsid w:val="00F937DD"/>
    <w:rsid w:val="00F93D17"/>
    <w:rsid w:val="00F94A82"/>
    <w:rsid w:val="00F950F7"/>
    <w:rsid w:val="00F958E9"/>
    <w:rsid w:val="00F95B78"/>
    <w:rsid w:val="00F95CEC"/>
    <w:rsid w:val="00F962E8"/>
    <w:rsid w:val="00F96678"/>
    <w:rsid w:val="00F966C7"/>
    <w:rsid w:val="00F967EC"/>
    <w:rsid w:val="00F96AFC"/>
    <w:rsid w:val="00F96B7B"/>
    <w:rsid w:val="00F973B2"/>
    <w:rsid w:val="00F97ADF"/>
    <w:rsid w:val="00FA0197"/>
    <w:rsid w:val="00FA0255"/>
    <w:rsid w:val="00FA0423"/>
    <w:rsid w:val="00FA0982"/>
    <w:rsid w:val="00FA0F02"/>
    <w:rsid w:val="00FA0FAF"/>
    <w:rsid w:val="00FA1104"/>
    <w:rsid w:val="00FA1352"/>
    <w:rsid w:val="00FA1B1E"/>
    <w:rsid w:val="00FA2019"/>
    <w:rsid w:val="00FA2F12"/>
    <w:rsid w:val="00FA3027"/>
    <w:rsid w:val="00FA398C"/>
    <w:rsid w:val="00FA4706"/>
    <w:rsid w:val="00FA53EC"/>
    <w:rsid w:val="00FA5A52"/>
    <w:rsid w:val="00FA5ACD"/>
    <w:rsid w:val="00FA5C58"/>
    <w:rsid w:val="00FA6452"/>
    <w:rsid w:val="00FA6FD2"/>
    <w:rsid w:val="00FA7597"/>
    <w:rsid w:val="00FA79A7"/>
    <w:rsid w:val="00FA79E3"/>
    <w:rsid w:val="00FA7CE4"/>
    <w:rsid w:val="00FB0D96"/>
    <w:rsid w:val="00FB0ECC"/>
    <w:rsid w:val="00FB1162"/>
    <w:rsid w:val="00FB1185"/>
    <w:rsid w:val="00FB118E"/>
    <w:rsid w:val="00FB2312"/>
    <w:rsid w:val="00FB2AA3"/>
    <w:rsid w:val="00FB334F"/>
    <w:rsid w:val="00FB35AC"/>
    <w:rsid w:val="00FB36B6"/>
    <w:rsid w:val="00FB3A0F"/>
    <w:rsid w:val="00FB4620"/>
    <w:rsid w:val="00FB4829"/>
    <w:rsid w:val="00FB4939"/>
    <w:rsid w:val="00FB50A3"/>
    <w:rsid w:val="00FB50D2"/>
    <w:rsid w:val="00FB5E4C"/>
    <w:rsid w:val="00FB657F"/>
    <w:rsid w:val="00FB6671"/>
    <w:rsid w:val="00FB719B"/>
    <w:rsid w:val="00FB71B6"/>
    <w:rsid w:val="00FB7913"/>
    <w:rsid w:val="00FB79DB"/>
    <w:rsid w:val="00FC0B1D"/>
    <w:rsid w:val="00FC117E"/>
    <w:rsid w:val="00FC1507"/>
    <w:rsid w:val="00FC357D"/>
    <w:rsid w:val="00FC3F81"/>
    <w:rsid w:val="00FC4A74"/>
    <w:rsid w:val="00FC4D48"/>
    <w:rsid w:val="00FC51EE"/>
    <w:rsid w:val="00FC5557"/>
    <w:rsid w:val="00FC5707"/>
    <w:rsid w:val="00FC60F0"/>
    <w:rsid w:val="00FC625D"/>
    <w:rsid w:val="00FC6B04"/>
    <w:rsid w:val="00FC7326"/>
    <w:rsid w:val="00FD0049"/>
    <w:rsid w:val="00FD031B"/>
    <w:rsid w:val="00FD0903"/>
    <w:rsid w:val="00FD15B8"/>
    <w:rsid w:val="00FD1A89"/>
    <w:rsid w:val="00FD1BB9"/>
    <w:rsid w:val="00FD1E0D"/>
    <w:rsid w:val="00FD222F"/>
    <w:rsid w:val="00FD2519"/>
    <w:rsid w:val="00FD2687"/>
    <w:rsid w:val="00FD2BD2"/>
    <w:rsid w:val="00FD323B"/>
    <w:rsid w:val="00FD3F57"/>
    <w:rsid w:val="00FD4489"/>
    <w:rsid w:val="00FD45F6"/>
    <w:rsid w:val="00FD540B"/>
    <w:rsid w:val="00FD5676"/>
    <w:rsid w:val="00FD607B"/>
    <w:rsid w:val="00FD6387"/>
    <w:rsid w:val="00FD774E"/>
    <w:rsid w:val="00FD78AE"/>
    <w:rsid w:val="00FD7E14"/>
    <w:rsid w:val="00FD7E22"/>
    <w:rsid w:val="00FE022E"/>
    <w:rsid w:val="00FE04A2"/>
    <w:rsid w:val="00FE1BA9"/>
    <w:rsid w:val="00FE1E0C"/>
    <w:rsid w:val="00FE23A4"/>
    <w:rsid w:val="00FE2913"/>
    <w:rsid w:val="00FE2D8D"/>
    <w:rsid w:val="00FE3060"/>
    <w:rsid w:val="00FE37DE"/>
    <w:rsid w:val="00FE3F45"/>
    <w:rsid w:val="00FE445D"/>
    <w:rsid w:val="00FE44DA"/>
    <w:rsid w:val="00FE4934"/>
    <w:rsid w:val="00FE4FE8"/>
    <w:rsid w:val="00FE528B"/>
    <w:rsid w:val="00FE5D2B"/>
    <w:rsid w:val="00FE682D"/>
    <w:rsid w:val="00FE6E1D"/>
    <w:rsid w:val="00FE7B83"/>
    <w:rsid w:val="00FF03B7"/>
    <w:rsid w:val="00FF0970"/>
    <w:rsid w:val="00FF09A7"/>
    <w:rsid w:val="00FF0C57"/>
    <w:rsid w:val="00FF1287"/>
    <w:rsid w:val="00FF192D"/>
    <w:rsid w:val="00FF2284"/>
    <w:rsid w:val="00FF2706"/>
    <w:rsid w:val="00FF2918"/>
    <w:rsid w:val="00FF2A03"/>
    <w:rsid w:val="00FF2F75"/>
    <w:rsid w:val="00FF35B3"/>
    <w:rsid w:val="00FF3655"/>
    <w:rsid w:val="00FF3D60"/>
    <w:rsid w:val="00FF40BD"/>
    <w:rsid w:val="00FF44EF"/>
    <w:rsid w:val="00FF465E"/>
    <w:rsid w:val="00FF4CA2"/>
    <w:rsid w:val="00FF4D94"/>
    <w:rsid w:val="00FF4F44"/>
    <w:rsid w:val="00FF5010"/>
    <w:rsid w:val="00FF558C"/>
    <w:rsid w:val="00FF55F3"/>
    <w:rsid w:val="00FF69FB"/>
    <w:rsid w:val="00FF77D4"/>
    <w:rsid w:val="00FF7BDB"/>
    <w:rsid w:val="00FF7E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3D441"/>
  <w15:docId w15:val="{7DBE4CC9-3240-4F5F-9067-FC4F9D47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F4"/>
  </w:style>
  <w:style w:type="paragraph" w:styleId="Heading1">
    <w:name w:val="heading 1"/>
    <w:basedOn w:val="Normal"/>
    <w:next w:val="Normal"/>
    <w:link w:val="Heading1Char"/>
    <w:uiPriority w:val="9"/>
    <w:qFormat/>
    <w:rsid w:val="00034F63"/>
    <w:pPr>
      <w:keepNext/>
      <w:keepLines/>
      <w:spacing w:before="240" w:after="0"/>
      <w:outlineLvl w:val="0"/>
    </w:pPr>
    <w:rPr>
      <w:rFonts w:asciiTheme="majorHAnsi" w:eastAsiaTheme="majorEastAsia" w:hAnsiTheme="majorHAnsi" w:cstheme="majorBidi"/>
      <w:color w:val="2B5582" w:themeColor="accent1" w:themeShade="BF"/>
      <w:sz w:val="32"/>
      <w:szCs w:val="32"/>
    </w:rPr>
  </w:style>
  <w:style w:type="paragraph" w:styleId="Heading3">
    <w:name w:val="heading 3"/>
    <w:basedOn w:val="Normal"/>
    <w:next w:val="Normal"/>
    <w:link w:val="Heading3Char"/>
    <w:uiPriority w:val="9"/>
    <w:unhideWhenUsed/>
    <w:qFormat/>
    <w:rsid w:val="00953C4A"/>
    <w:pPr>
      <w:keepNext/>
      <w:keepLines/>
      <w:spacing w:before="40" w:after="0"/>
      <w:outlineLvl w:val="2"/>
    </w:pPr>
    <w:rPr>
      <w:rFonts w:asciiTheme="majorHAnsi" w:eastAsiaTheme="majorEastAsia" w:hAnsiTheme="majorHAnsi" w:cstheme="majorBidi"/>
      <w:color w:val="1C395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E18"/>
  </w:style>
  <w:style w:type="paragraph" w:styleId="Footer">
    <w:name w:val="footer"/>
    <w:basedOn w:val="Normal"/>
    <w:link w:val="FooterChar"/>
    <w:uiPriority w:val="99"/>
    <w:unhideWhenUsed/>
    <w:rsid w:val="00A14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E18"/>
  </w:style>
  <w:style w:type="paragraph" w:customStyle="1" w:styleId="01HEADLINE">
    <w:name w:val="01 HEADLINE"/>
    <w:basedOn w:val="Header"/>
    <w:qFormat/>
    <w:rsid w:val="00A14E18"/>
    <w:pPr>
      <w:tabs>
        <w:tab w:val="clear" w:pos="4513"/>
        <w:tab w:val="clear" w:pos="9026"/>
        <w:tab w:val="center" w:pos="4320"/>
        <w:tab w:val="right" w:pos="8640"/>
      </w:tabs>
    </w:pPr>
    <w:rPr>
      <w:rFonts w:ascii="Calibri" w:eastAsia="Times New Roman" w:hAnsi="Calibri"/>
      <w:b/>
      <w:color w:val="FFFFFF"/>
      <w:sz w:val="26"/>
      <w:szCs w:val="26"/>
    </w:rPr>
  </w:style>
  <w:style w:type="paragraph" w:styleId="BalloonText">
    <w:name w:val="Balloon Text"/>
    <w:basedOn w:val="Normal"/>
    <w:link w:val="BalloonTextChar"/>
    <w:uiPriority w:val="99"/>
    <w:semiHidden/>
    <w:unhideWhenUsed/>
    <w:rsid w:val="00A14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E18"/>
    <w:rPr>
      <w:rFonts w:ascii="Tahoma" w:hAnsi="Tahoma" w:cs="Tahoma"/>
      <w:sz w:val="16"/>
      <w:szCs w:val="16"/>
    </w:rPr>
  </w:style>
  <w:style w:type="paragraph" w:customStyle="1" w:styleId="02TITLE">
    <w:name w:val="02 TITLE"/>
    <w:basedOn w:val="Normal"/>
    <w:qFormat/>
    <w:rsid w:val="00003855"/>
    <w:pPr>
      <w:spacing w:after="240" w:line="240" w:lineRule="auto"/>
    </w:pPr>
    <w:rPr>
      <w:rFonts w:asciiTheme="majorHAnsi" w:eastAsiaTheme="minorEastAsia" w:hAnsiTheme="majorHAnsi"/>
      <w:b/>
      <w:color w:val="11275D"/>
      <w:sz w:val="28"/>
      <w:szCs w:val="28"/>
    </w:rPr>
  </w:style>
  <w:style w:type="paragraph" w:customStyle="1" w:styleId="04SUBSUB">
    <w:name w:val="04 SUBSUB"/>
    <w:basedOn w:val="Normal"/>
    <w:qFormat/>
    <w:rsid w:val="00003855"/>
    <w:pPr>
      <w:tabs>
        <w:tab w:val="left" w:pos="8262"/>
      </w:tabs>
      <w:spacing w:before="480" w:line="264" w:lineRule="auto"/>
      <w:ind w:left="2835" w:right="74"/>
      <w:contextualSpacing/>
      <w:jc w:val="both"/>
    </w:pPr>
    <w:rPr>
      <w:rFonts w:asciiTheme="majorHAnsi" w:eastAsiaTheme="minorEastAsia" w:hAnsiTheme="majorHAnsi" w:cstheme="majorHAnsi"/>
      <w:b/>
      <w:color w:val="11275D"/>
      <w:sz w:val="21"/>
      <w:szCs w:val="21"/>
      <w:lang w:val="en-GB"/>
    </w:rPr>
  </w:style>
  <w:style w:type="paragraph" w:styleId="ListParagraph">
    <w:name w:val="List Paragraph"/>
    <w:basedOn w:val="Normal"/>
    <w:uiPriority w:val="34"/>
    <w:qFormat/>
    <w:rsid w:val="00003855"/>
    <w:pPr>
      <w:spacing w:after="0" w:line="240" w:lineRule="auto"/>
      <w:ind w:left="720"/>
      <w:contextualSpacing/>
    </w:pPr>
    <w:rPr>
      <w:rFonts w:eastAsiaTheme="minorEastAsia"/>
      <w:sz w:val="24"/>
      <w:szCs w:val="24"/>
      <w:lang w:val="en-US"/>
    </w:rPr>
  </w:style>
  <w:style w:type="table" w:styleId="TableGrid">
    <w:name w:val="Table Grid"/>
    <w:basedOn w:val="TableNormal"/>
    <w:uiPriority w:val="59"/>
    <w:rsid w:val="0065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PLAINTEXT">
    <w:name w:val="05 PLAIN TEXT"/>
    <w:basedOn w:val="Normal"/>
    <w:qFormat/>
    <w:rsid w:val="00D72CD0"/>
    <w:pPr>
      <w:tabs>
        <w:tab w:val="left" w:pos="8262"/>
      </w:tabs>
      <w:spacing w:before="120" w:after="0" w:line="264" w:lineRule="auto"/>
      <w:ind w:left="2835" w:right="74"/>
      <w:contextualSpacing/>
      <w:jc w:val="both"/>
    </w:pPr>
    <w:rPr>
      <w:rFonts w:asciiTheme="majorHAnsi" w:eastAsiaTheme="minorEastAsia" w:hAnsiTheme="majorHAnsi" w:cstheme="majorHAnsi"/>
      <w:color w:val="0D0D0D" w:themeColor="text1" w:themeTint="F2"/>
      <w:sz w:val="19"/>
      <w:szCs w:val="19"/>
      <w:lang w:val="en-GB"/>
    </w:rPr>
  </w:style>
  <w:style w:type="paragraph" w:customStyle="1" w:styleId="a">
    <w:name w:val="Τίτλος ενότητας"/>
    <w:qFormat/>
    <w:rsid w:val="00F168DB"/>
    <w:pPr>
      <w:pBdr>
        <w:bottom w:val="single" w:sz="6" w:space="11" w:color="E0CBA4"/>
      </w:pBdr>
      <w:spacing w:before="480" w:after="240" w:line="240" w:lineRule="auto"/>
      <w:ind w:left="2835"/>
    </w:pPr>
    <w:rPr>
      <w:rFonts w:asciiTheme="majorHAnsi" w:eastAsiaTheme="minorEastAsia" w:hAnsiTheme="majorHAnsi"/>
      <w:noProof/>
      <w:color w:val="000000" w:themeColor="text1"/>
      <w:sz w:val="32"/>
      <w:szCs w:val="32"/>
      <w:lang w:val="en-GB" w:eastAsia="en-GB"/>
    </w:rPr>
  </w:style>
  <w:style w:type="paragraph" w:styleId="FootnoteText">
    <w:name w:val="footnote text"/>
    <w:basedOn w:val="Normal"/>
    <w:link w:val="FootnoteTextChar"/>
    <w:uiPriority w:val="99"/>
    <w:unhideWhenUsed/>
    <w:rsid w:val="00F168DB"/>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F168DB"/>
    <w:rPr>
      <w:rFonts w:eastAsiaTheme="minorEastAsia"/>
      <w:sz w:val="20"/>
      <w:szCs w:val="20"/>
      <w:lang w:val="en-US"/>
    </w:rPr>
  </w:style>
  <w:style w:type="paragraph" w:customStyle="1" w:styleId="10TableB">
    <w:name w:val="10 Table B"/>
    <w:basedOn w:val="Normal"/>
    <w:qFormat/>
    <w:rsid w:val="00F168DB"/>
    <w:pPr>
      <w:spacing w:after="0" w:line="240" w:lineRule="auto"/>
    </w:pPr>
    <w:rPr>
      <w:rFonts w:asciiTheme="majorHAnsi" w:eastAsiaTheme="minorEastAsia" w:hAnsiTheme="majorHAnsi"/>
      <w:b/>
      <w:sz w:val="19"/>
      <w:szCs w:val="19"/>
      <w:lang w:val="en-US"/>
    </w:rPr>
  </w:style>
  <w:style w:type="paragraph" w:customStyle="1" w:styleId="11TableP">
    <w:name w:val="11 Table P"/>
    <w:basedOn w:val="Normal"/>
    <w:qFormat/>
    <w:rsid w:val="00F168DB"/>
    <w:pPr>
      <w:spacing w:after="0" w:line="240" w:lineRule="auto"/>
    </w:pPr>
    <w:rPr>
      <w:rFonts w:asciiTheme="majorHAnsi" w:eastAsiaTheme="minorEastAsia" w:hAnsiTheme="majorHAnsi"/>
      <w:sz w:val="19"/>
      <w:szCs w:val="19"/>
      <w:lang w:val="en-US"/>
    </w:rPr>
  </w:style>
  <w:style w:type="paragraph" w:styleId="NormalWeb">
    <w:name w:val="Normal (Web)"/>
    <w:basedOn w:val="Normal"/>
    <w:uiPriority w:val="99"/>
    <w:unhideWhenUsed/>
    <w:rsid w:val="008E00C1"/>
    <w:pPr>
      <w:spacing w:before="100" w:beforeAutospacing="1" w:after="100" w:afterAutospacing="1" w:line="240" w:lineRule="auto"/>
    </w:pPr>
    <w:rPr>
      <w:rFonts w:ascii="Times New Roman" w:eastAsiaTheme="minorEastAsia" w:hAnsi="Times New Roman" w:cs="Times New Roman"/>
      <w:sz w:val="24"/>
      <w:szCs w:val="24"/>
      <w:lang w:eastAsia="el-GR"/>
    </w:rPr>
  </w:style>
  <w:style w:type="character" w:styleId="FootnoteReference">
    <w:name w:val="footnote reference"/>
    <w:basedOn w:val="DefaultParagraphFont"/>
    <w:uiPriority w:val="99"/>
    <w:semiHidden/>
    <w:unhideWhenUsed/>
    <w:rsid w:val="004631DC"/>
    <w:rPr>
      <w:vertAlign w:val="superscript"/>
    </w:rPr>
  </w:style>
  <w:style w:type="character" w:styleId="CommentReference">
    <w:name w:val="annotation reference"/>
    <w:basedOn w:val="DefaultParagraphFont"/>
    <w:uiPriority w:val="99"/>
    <w:semiHidden/>
    <w:unhideWhenUsed/>
    <w:rsid w:val="00FC7326"/>
    <w:rPr>
      <w:sz w:val="16"/>
      <w:szCs w:val="16"/>
    </w:rPr>
  </w:style>
  <w:style w:type="paragraph" w:styleId="CommentText">
    <w:name w:val="annotation text"/>
    <w:basedOn w:val="Normal"/>
    <w:link w:val="CommentTextChar"/>
    <w:uiPriority w:val="99"/>
    <w:semiHidden/>
    <w:unhideWhenUsed/>
    <w:rsid w:val="00FC7326"/>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FC7326"/>
    <w:rPr>
      <w:rFonts w:ascii="Calibri" w:hAnsi="Calibri" w:cs="Times New Roman"/>
      <w:sz w:val="20"/>
      <w:szCs w:val="20"/>
    </w:rPr>
  </w:style>
  <w:style w:type="character" w:styleId="Hyperlink">
    <w:name w:val="Hyperlink"/>
    <w:basedOn w:val="DefaultParagraphFont"/>
    <w:uiPriority w:val="99"/>
    <w:unhideWhenUsed/>
    <w:rsid w:val="00A33FE0"/>
    <w:rPr>
      <w:color w:val="0070C0" w:themeColor="hyperlink"/>
      <w:u w:val="single"/>
    </w:rPr>
  </w:style>
  <w:style w:type="numbering" w:customStyle="1" w:styleId="NoList1">
    <w:name w:val="No List1"/>
    <w:next w:val="NoList"/>
    <w:uiPriority w:val="99"/>
    <w:semiHidden/>
    <w:unhideWhenUsed/>
    <w:rsid w:val="00D612E1"/>
  </w:style>
  <w:style w:type="table" w:customStyle="1" w:styleId="TableGrid1">
    <w:name w:val="Table Grid1"/>
    <w:basedOn w:val="TableNormal"/>
    <w:next w:val="TableGrid"/>
    <w:uiPriority w:val="59"/>
    <w:rsid w:val="00D61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4F63"/>
    <w:rPr>
      <w:rFonts w:asciiTheme="majorHAnsi" w:eastAsiaTheme="majorEastAsia" w:hAnsiTheme="majorHAnsi" w:cstheme="majorBidi"/>
      <w:color w:val="2B5582" w:themeColor="accent1" w:themeShade="BF"/>
      <w:sz w:val="32"/>
      <w:szCs w:val="32"/>
    </w:rPr>
  </w:style>
  <w:style w:type="table" w:customStyle="1" w:styleId="TableGrid2">
    <w:name w:val="Table Grid2"/>
    <w:basedOn w:val="TableNormal"/>
    <w:next w:val="TableGrid"/>
    <w:uiPriority w:val="59"/>
    <w:rsid w:val="00E0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F7721"/>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CF7721"/>
    <w:rPr>
      <w:rFonts w:ascii="Calibri" w:hAnsi="Calibri" w:cs="Times New Roman"/>
      <w:b/>
      <w:bCs/>
      <w:sz w:val="20"/>
      <w:szCs w:val="20"/>
    </w:rPr>
  </w:style>
  <w:style w:type="paragraph" w:customStyle="1" w:styleId="Default">
    <w:name w:val="Default"/>
    <w:rsid w:val="001F7F89"/>
    <w:pPr>
      <w:autoSpaceDE w:val="0"/>
      <w:autoSpaceDN w:val="0"/>
      <w:adjustRightInd w:val="0"/>
      <w:spacing w:after="0" w:line="240" w:lineRule="auto"/>
    </w:pPr>
    <w:rPr>
      <w:rFonts w:ascii="Calibri" w:hAnsi="Calibri" w:cs="Calibri"/>
      <w:color w:val="000000"/>
      <w:sz w:val="24"/>
      <w:szCs w:val="24"/>
    </w:rPr>
  </w:style>
  <w:style w:type="paragraph" w:customStyle="1" w:styleId="s2">
    <w:name w:val="s2"/>
    <w:basedOn w:val="Normal"/>
    <w:rsid w:val="00AA140F"/>
    <w:pPr>
      <w:spacing w:before="100" w:beforeAutospacing="1" w:after="100" w:afterAutospacing="1" w:line="240" w:lineRule="auto"/>
    </w:pPr>
    <w:rPr>
      <w:rFonts w:ascii="Calibri" w:hAnsi="Calibri" w:cs="Times New Roman"/>
    </w:rPr>
  </w:style>
  <w:style w:type="character" w:styleId="Emphasis">
    <w:name w:val="Emphasis"/>
    <w:basedOn w:val="DefaultParagraphFont"/>
    <w:uiPriority w:val="20"/>
    <w:qFormat/>
    <w:rsid w:val="00D513D2"/>
    <w:rPr>
      <w:b/>
      <w:bCs/>
      <w:i w:val="0"/>
      <w:iCs w:val="0"/>
    </w:rPr>
  </w:style>
  <w:style w:type="character" w:customStyle="1" w:styleId="st1">
    <w:name w:val="st1"/>
    <w:basedOn w:val="DefaultParagraphFont"/>
    <w:rsid w:val="00D513D2"/>
  </w:style>
  <w:style w:type="table" w:customStyle="1" w:styleId="TableGrid21">
    <w:name w:val="Table Grid21"/>
    <w:basedOn w:val="TableNormal"/>
    <w:next w:val="TableGrid"/>
    <w:uiPriority w:val="59"/>
    <w:rsid w:val="00ED3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53C4A"/>
    <w:rPr>
      <w:rFonts w:asciiTheme="majorHAnsi" w:eastAsiaTheme="majorEastAsia" w:hAnsiTheme="majorHAnsi" w:cstheme="majorBidi"/>
      <w:color w:val="1C3956" w:themeColor="accent1" w:themeShade="7F"/>
      <w:sz w:val="24"/>
      <w:szCs w:val="24"/>
    </w:rPr>
  </w:style>
  <w:style w:type="paragraph" w:customStyle="1" w:styleId="TableParagraph">
    <w:name w:val="Table Paragraph"/>
    <w:basedOn w:val="Normal"/>
    <w:uiPriority w:val="1"/>
    <w:qFormat/>
    <w:rsid w:val="00045C2B"/>
    <w:pPr>
      <w:widowControl w:val="0"/>
      <w:autoSpaceDE w:val="0"/>
      <w:autoSpaceDN w:val="0"/>
      <w:spacing w:after="0" w:line="240" w:lineRule="auto"/>
    </w:pPr>
    <w:rPr>
      <w:rFonts w:ascii="Calibri" w:eastAsia="Calibri" w:hAnsi="Calibri" w:cs="Calibri"/>
      <w:lang w:val="en-US" w:bidi="en-US"/>
    </w:rPr>
  </w:style>
  <w:style w:type="paragraph" w:styleId="BodyText">
    <w:name w:val="Body Text"/>
    <w:basedOn w:val="Normal"/>
    <w:link w:val="BodyTextChar"/>
    <w:uiPriority w:val="1"/>
    <w:qFormat/>
    <w:rsid w:val="00FA1352"/>
    <w:pPr>
      <w:widowControl w:val="0"/>
      <w:autoSpaceDE w:val="0"/>
      <w:autoSpaceDN w:val="0"/>
      <w:spacing w:before="240" w:after="0" w:line="280" w:lineRule="exact"/>
      <w:jc w:val="both"/>
    </w:pPr>
    <w:rPr>
      <w:rFonts w:eastAsia="Piraeus Sans" w:cs="Piraeus Sans"/>
      <w:color w:val="414042"/>
      <w:sz w:val="20"/>
      <w:szCs w:val="20"/>
      <w:lang w:val="en-US"/>
    </w:rPr>
  </w:style>
  <w:style w:type="character" w:customStyle="1" w:styleId="BodyTextChar">
    <w:name w:val="Body Text Char"/>
    <w:basedOn w:val="DefaultParagraphFont"/>
    <w:link w:val="BodyText"/>
    <w:uiPriority w:val="1"/>
    <w:rsid w:val="00FA1352"/>
    <w:rPr>
      <w:rFonts w:eastAsia="Piraeus Sans" w:cs="Piraeus Sans"/>
      <w:color w:val="414042"/>
      <w:sz w:val="20"/>
      <w:szCs w:val="20"/>
      <w:lang w:val="en-US"/>
    </w:rPr>
  </w:style>
  <w:style w:type="paragraph" w:styleId="HTMLPreformatted">
    <w:name w:val="HTML Preformatted"/>
    <w:basedOn w:val="Normal"/>
    <w:link w:val="HTMLPreformattedChar"/>
    <w:uiPriority w:val="99"/>
    <w:semiHidden/>
    <w:unhideWhenUsed/>
    <w:rsid w:val="00982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982391"/>
    <w:rPr>
      <w:rFonts w:ascii="Courier New" w:eastAsia="Times New Roman" w:hAnsi="Courier New" w:cs="Courier New"/>
      <w:sz w:val="20"/>
      <w:szCs w:val="20"/>
      <w:lang w:val="en-GB" w:eastAsia="en-GB"/>
    </w:rPr>
  </w:style>
  <w:style w:type="character" w:styleId="FollowedHyperlink">
    <w:name w:val="FollowedHyperlink"/>
    <w:basedOn w:val="DefaultParagraphFont"/>
    <w:uiPriority w:val="99"/>
    <w:semiHidden/>
    <w:unhideWhenUsed/>
    <w:rsid w:val="006C1E65"/>
    <w:rPr>
      <w:color w:val="7030A0" w:themeColor="followedHyperlink"/>
      <w:u w:val="single"/>
    </w:rPr>
  </w:style>
  <w:style w:type="table" w:customStyle="1" w:styleId="TableGrid11">
    <w:name w:val="Table Grid11"/>
    <w:basedOn w:val="TableNormal"/>
    <w:next w:val="TableGrid"/>
    <w:uiPriority w:val="59"/>
    <w:rsid w:val="008A4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82C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
    <w:name w:val="Βασικό1"/>
    <w:rsid w:val="00C94270"/>
    <w:pPr>
      <w:suppressAutoHyphens/>
      <w:autoSpaceDN w:val="0"/>
      <w:textAlignment w:val="baseline"/>
    </w:pPr>
    <w:rPr>
      <w:rFonts w:ascii="Calibri" w:eastAsia="Calibri" w:hAnsi="Calibri" w:cs="Times New Roman"/>
    </w:rPr>
  </w:style>
  <w:style w:type="character" w:customStyle="1" w:styleId="10">
    <w:name w:val="Προεπιλεγμένη γραμματοσειρά1"/>
    <w:rsid w:val="00C94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959">
      <w:bodyDiv w:val="1"/>
      <w:marLeft w:val="0"/>
      <w:marRight w:val="0"/>
      <w:marTop w:val="0"/>
      <w:marBottom w:val="0"/>
      <w:divBdr>
        <w:top w:val="none" w:sz="0" w:space="0" w:color="auto"/>
        <w:left w:val="none" w:sz="0" w:space="0" w:color="auto"/>
        <w:bottom w:val="none" w:sz="0" w:space="0" w:color="auto"/>
        <w:right w:val="none" w:sz="0" w:space="0" w:color="auto"/>
      </w:divBdr>
    </w:div>
    <w:div w:id="53941705">
      <w:bodyDiv w:val="1"/>
      <w:marLeft w:val="0"/>
      <w:marRight w:val="0"/>
      <w:marTop w:val="0"/>
      <w:marBottom w:val="0"/>
      <w:divBdr>
        <w:top w:val="none" w:sz="0" w:space="0" w:color="auto"/>
        <w:left w:val="none" w:sz="0" w:space="0" w:color="auto"/>
        <w:bottom w:val="none" w:sz="0" w:space="0" w:color="auto"/>
        <w:right w:val="none" w:sz="0" w:space="0" w:color="auto"/>
      </w:divBdr>
    </w:div>
    <w:div w:id="56324728">
      <w:bodyDiv w:val="1"/>
      <w:marLeft w:val="0"/>
      <w:marRight w:val="0"/>
      <w:marTop w:val="0"/>
      <w:marBottom w:val="0"/>
      <w:divBdr>
        <w:top w:val="none" w:sz="0" w:space="0" w:color="auto"/>
        <w:left w:val="none" w:sz="0" w:space="0" w:color="auto"/>
        <w:bottom w:val="none" w:sz="0" w:space="0" w:color="auto"/>
        <w:right w:val="none" w:sz="0" w:space="0" w:color="auto"/>
      </w:divBdr>
      <w:divsChild>
        <w:div w:id="913004960">
          <w:marLeft w:val="461"/>
          <w:marRight w:val="0"/>
          <w:marTop w:val="240"/>
          <w:marBottom w:val="120"/>
          <w:divBdr>
            <w:top w:val="none" w:sz="0" w:space="0" w:color="auto"/>
            <w:left w:val="none" w:sz="0" w:space="0" w:color="auto"/>
            <w:bottom w:val="none" w:sz="0" w:space="0" w:color="auto"/>
            <w:right w:val="none" w:sz="0" w:space="0" w:color="auto"/>
          </w:divBdr>
        </w:div>
      </w:divsChild>
    </w:div>
    <w:div w:id="66922210">
      <w:bodyDiv w:val="1"/>
      <w:marLeft w:val="0"/>
      <w:marRight w:val="0"/>
      <w:marTop w:val="0"/>
      <w:marBottom w:val="0"/>
      <w:divBdr>
        <w:top w:val="none" w:sz="0" w:space="0" w:color="auto"/>
        <w:left w:val="none" w:sz="0" w:space="0" w:color="auto"/>
        <w:bottom w:val="none" w:sz="0" w:space="0" w:color="auto"/>
        <w:right w:val="none" w:sz="0" w:space="0" w:color="auto"/>
      </w:divBdr>
    </w:div>
    <w:div w:id="103616108">
      <w:bodyDiv w:val="1"/>
      <w:marLeft w:val="0"/>
      <w:marRight w:val="0"/>
      <w:marTop w:val="0"/>
      <w:marBottom w:val="0"/>
      <w:divBdr>
        <w:top w:val="none" w:sz="0" w:space="0" w:color="auto"/>
        <w:left w:val="none" w:sz="0" w:space="0" w:color="auto"/>
        <w:bottom w:val="none" w:sz="0" w:space="0" w:color="auto"/>
        <w:right w:val="none" w:sz="0" w:space="0" w:color="auto"/>
      </w:divBdr>
    </w:div>
    <w:div w:id="117602480">
      <w:bodyDiv w:val="1"/>
      <w:marLeft w:val="0"/>
      <w:marRight w:val="0"/>
      <w:marTop w:val="0"/>
      <w:marBottom w:val="0"/>
      <w:divBdr>
        <w:top w:val="none" w:sz="0" w:space="0" w:color="auto"/>
        <w:left w:val="none" w:sz="0" w:space="0" w:color="auto"/>
        <w:bottom w:val="none" w:sz="0" w:space="0" w:color="auto"/>
        <w:right w:val="none" w:sz="0" w:space="0" w:color="auto"/>
      </w:divBdr>
    </w:div>
    <w:div w:id="145783865">
      <w:bodyDiv w:val="1"/>
      <w:marLeft w:val="0"/>
      <w:marRight w:val="0"/>
      <w:marTop w:val="0"/>
      <w:marBottom w:val="0"/>
      <w:divBdr>
        <w:top w:val="none" w:sz="0" w:space="0" w:color="auto"/>
        <w:left w:val="none" w:sz="0" w:space="0" w:color="auto"/>
        <w:bottom w:val="none" w:sz="0" w:space="0" w:color="auto"/>
        <w:right w:val="none" w:sz="0" w:space="0" w:color="auto"/>
      </w:divBdr>
    </w:div>
    <w:div w:id="233786100">
      <w:bodyDiv w:val="1"/>
      <w:marLeft w:val="0"/>
      <w:marRight w:val="0"/>
      <w:marTop w:val="0"/>
      <w:marBottom w:val="0"/>
      <w:divBdr>
        <w:top w:val="none" w:sz="0" w:space="0" w:color="auto"/>
        <w:left w:val="none" w:sz="0" w:space="0" w:color="auto"/>
        <w:bottom w:val="none" w:sz="0" w:space="0" w:color="auto"/>
        <w:right w:val="none" w:sz="0" w:space="0" w:color="auto"/>
      </w:divBdr>
    </w:div>
    <w:div w:id="271985495">
      <w:bodyDiv w:val="1"/>
      <w:marLeft w:val="0"/>
      <w:marRight w:val="0"/>
      <w:marTop w:val="0"/>
      <w:marBottom w:val="0"/>
      <w:divBdr>
        <w:top w:val="none" w:sz="0" w:space="0" w:color="auto"/>
        <w:left w:val="none" w:sz="0" w:space="0" w:color="auto"/>
        <w:bottom w:val="none" w:sz="0" w:space="0" w:color="auto"/>
        <w:right w:val="none" w:sz="0" w:space="0" w:color="auto"/>
      </w:divBdr>
    </w:div>
    <w:div w:id="313097898">
      <w:bodyDiv w:val="1"/>
      <w:marLeft w:val="0"/>
      <w:marRight w:val="0"/>
      <w:marTop w:val="0"/>
      <w:marBottom w:val="0"/>
      <w:divBdr>
        <w:top w:val="none" w:sz="0" w:space="0" w:color="auto"/>
        <w:left w:val="none" w:sz="0" w:space="0" w:color="auto"/>
        <w:bottom w:val="none" w:sz="0" w:space="0" w:color="auto"/>
        <w:right w:val="none" w:sz="0" w:space="0" w:color="auto"/>
      </w:divBdr>
    </w:div>
    <w:div w:id="323583895">
      <w:bodyDiv w:val="1"/>
      <w:marLeft w:val="0"/>
      <w:marRight w:val="0"/>
      <w:marTop w:val="0"/>
      <w:marBottom w:val="0"/>
      <w:divBdr>
        <w:top w:val="none" w:sz="0" w:space="0" w:color="auto"/>
        <w:left w:val="none" w:sz="0" w:space="0" w:color="auto"/>
        <w:bottom w:val="none" w:sz="0" w:space="0" w:color="auto"/>
        <w:right w:val="none" w:sz="0" w:space="0" w:color="auto"/>
      </w:divBdr>
      <w:divsChild>
        <w:div w:id="1086345269">
          <w:marLeft w:val="0"/>
          <w:marRight w:val="0"/>
          <w:marTop w:val="0"/>
          <w:marBottom w:val="0"/>
          <w:divBdr>
            <w:top w:val="none" w:sz="0" w:space="0" w:color="auto"/>
            <w:left w:val="none" w:sz="0" w:space="0" w:color="auto"/>
            <w:bottom w:val="none" w:sz="0" w:space="0" w:color="auto"/>
            <w:right w:val="none" w:sz="0" w:space="0" w:color="auto"/>
          </w:divBdr>
          <w:divsChild>
            <w:div w:id="1019426454">
              <w:marLeft w:val="0"/>
              <w:marRight w:val="0"/>
              <w:marTop w:val="0"/>
              <w:marBottom w:val="0"/>
              <w:divBdr>
                <w:top w:val="none" w:sz="0" w:space="0" w:color="auto"/>
                <w:left w:val="none" w:sz="0" w:space="0" w:color="auto"/>
                <w:bottom w:val="none" w:sz="0" w:space="0" w:color="auto"/>
                <w:right w:val="none" w:sz="0" w:space="0" w:color="auto"/>
              </w:divBdr>
              <w:divsChild>
                <w:div w:id="1247612150">
                  <w:marLeft w:val="0"/>
                  <w:marRight w:val="0"/>
                  <w:marTop w:val="0"/>
                  <w:marBottom w:val="0"/>
                  <w:divBdr>
                    <w:top w:val="none" w:sz="0" w:space="0" w:color="auto"/>
                    <w:left w:val="none" w:sz="0" w:space="0" w:color="auto"/>
                    <w:bottom w:val="none" w:sz="0" w:space="0" w:color="auto"/>
                    <w:right w:val="none" w:sz="0" w:space="0" w:color="auto"/>
                  </w:divBdr>
                  <w:divsChild>
                    <w:div w:id="1747607864">
                      <w:marLeft w:val="0"/>
                      <w:marRight w:val="0"/>
                      <w:marTop w:val="0"/>
                      <w:marBottom w:val="0"/>
                      <w:divBdr>
                        <w:top w:val="none" w:sz="0" w:space="0" w:color="auto"/>
                        <w:left w:val="none" w:sz="0" w:space="0" w:color="auto"/>
                        <w:bottom w:val="none" w:sz="0" w:space="0" w:color="auto"/>
                        <w:right w:val="none" w:sz="0" w:space="0" w:color="auto"/>
                      </w:divBdr>
                      <w:divsChild>
                        <w:div w:id="1318921908">
                          <w:marLeft w:val="0"/>
                          <w:marRight w:val="0"/>
                          <w:marTop w:val="0"/>
                          <w:marBottom w:val="0"/>
                          <w:divBdr>
                            <w:top w:val="none" w:sz="0" w:space="0" w:color="auto"/>
                            <w:left w:val="none" w:sz="0" w:space="0" w:color="auto"/>
                            <w:bottom w:val="none" w:sz="0" w:space="0" w:color="auto"/>
                            <w:right w:val="none" w:sz="0" w:space="0" w:color="auto"/>
                          </w:divBdr>
                          <w:divsChild>
                            <w:div w:id="1268347514">
                              <w:marLeft w:val="0"/>
                              <w:marRight w:val="0"/>
                              <w:marTop w:val="0"/>
                              <w:marBottom w:val="0"/>
                              <w:divBdr>
                                <w:top w:val="none" w:sz="0" w:space="0" w:color="auto"/>
                                <w:left w:val="none" w:sz="0" w:space="0" w:color="auto"/>
                                <w:bottom w:val="none" w:sz="0" w:space="0" w:color="auto"/>
                                <w:right w:val="none" w:sz="0" w:space="0" w:color="auto"/>
                              </w:divBdr>
                              <w:divsChild>
                                <w:div w:id="1532380524">
                                  <w:marLeft w:val="0"/>
                                  <w:marRight w:val="0"/>
                                  <w:marTop w:val="0"/>
                                  <w:marBottom w:val="0"/>
                                  <w:divBdr>
                                    <w:top w:val="none" w:sz="0" w:space="0" w:color="auto"/>
                                    <w:left w:val="none" w:sz="0" w:space="0" w:color="auto"/>
                                    <w:bottom w:val="none" w:sz="0" w:space="0" w:color="auto"/>
                                    <w:right w:val="none" w:sz="0" w:space="0" w:color="auto"/>
                                  </w:divBdr>
                                  <w:divsChild>
                                    <w:div w:id="941109460">
                                      <w:marLeft w:val="0"/>
                                      <w:marRight w:val="0"/>
                                      <w:marTop w:val="0"/>
                                      <w:marBottom w:val="0"/>
                                      <w:divBdr>
                                        <w:top w:val="none" w:sz="0" w:space="0" w:color="auto"/>
                                        <w:left w:val="none" w:sz="0" w:space="0" w:color="auto"/>
                                        <w:bottom w:val="none" w:sz="0" w:space="0" w:color="auto"/>
                                        <w:right w:val="none" w:sz="0" w:space="0" w:color="auto"/>
                                      </w:divBdr>
                                      <w:divsChild>
                                        <w:div w:id="1365595584">
                                          <w:marLeft w:val="0"/>
                                          <w:marRight w:val="0"/>
                                          <w:marTop w:val="0"/>
                                          <w:marBottom w:val="0"/>
                                          <w:divBdr>
                                            <w:top w:val="none" w:sz="0" w:space="0" w:color="auto"/>
                                            <w:left w:val="none" w:sz="0" w:space="0" w:color="auto"/>
                                            <w:bottom w:val="none" w:sz="0" w:space="0" w:color="auto"/>
                                            <w:right w:val="none" w:sz="0" w:space="0" w:color="auto"/>
                                          </w:divBdr>
                                          <w:divsChild>
                                            <w:div w:id="1965691240">
                                              <w:marLeft w:val="0"/>
                                              <w:marRight w:val="0"/>
                                              <w:marTop w:val="0"/>
                                              <w:marBottom w:val="0"/>
                                              <w:divBdr>
                                                <w:top w:val="none" w:sz="0" w:space="0" w:color="auto"/>
                                                <w:left w:val="none" w:sz="0" w:space="0" w:color="auto"/>
                                                <w:bottom w:val="none" w:sz="0" w:space="0" w:color="auto"/>
                                                <w:right w:val="none" w:sz="0" w:space="0" w:color="auto"/>
                                              </w:divBdr>
                                              <w:divsChild>
                                                <w:div w:id="100222004">
                                                  <w:marLeft w:val="0"/>
                                                  <w:marRight w:val="0"/>
                                                  <w:marTop w:val="0"/>
                                                  <w:marBottom w:val="0"/>
                                                  <w:divBdr>
                                                    <w:top w:val="none" w:sz="0" w:space="0" w:color="auto"/>
                                                    <w:left w:val="none" w:sz="0" w:space="0" w:color="auto"/>
                                                    <w:bottom w:val="single" w:sz="6" w:space="0" w:color="DADCE0"/>
                                                    <w:right w:val="none" w:sz="0" w:space="0" w:color="auto"/>
                                                  </w:divBdr>
                                                  <w:divsChild>
                                                    <w:div w:id="1769234242">
                                                      <w:marLeft w:val="0"/>
                                                      <w:marRight w:val="0"/>
                                                      <w:marTop w:val="0"/>
                                                      <w:marBottom w:val="0"/>
                                                      <w:divBdr>
                                                        <w:top w:val="none" w:sz="0" w:space="0" w:color="auto"/>
                                                        <w:left w:val="none" w:sz="0" w:space="0" w:color="auto"/>
                                                        <w:bottom w:val="none" w:sz="0" w:space="0" w:color="auto"/>
                                                        <w:right w:val="none" w:sz="0" w:space="0" w:color="auto"/>
                                                      </w:divBdr>
                                                      <w:divsChild>
                                                        <w:div w:id="807362646">
                                                          <w:marLeft w:val="0"/>
                                                          <w:marRight w:val="0"/>
                                                          <w:marTop w:val="0"/>
                                                          <w:marBottom w:val="0"/>
                                                          <w:divBdr>
                                                            <w:top w:val="none" w:sz="0" w:space="0" w:color="auto"/>
                                                            <w:left w:val="none" w:sz="0" w:space="0" w:color="auto"/>
                                                            <w:bottom w:val="none" w:sz="0" w:space="0" w:color="auto"/>
                                                            <w:right w:val="none" w:sz="0" w:space="0" w:color="auto"/>
                                                          </w:divBdr>
                                                        </w:div>
                                                        <w:div w:id="16587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4055">
                                                  <w:marLeft w:val="0"/>
                                                  <w:marRight w:val="0"/>
                                                  <w:marTop w:val="0"/>
                                                  <w:marBottom w:val="0"/>
                                                  <w:divBdr>
                                                    <w:top w:val="none" w:sz="0" w:space="0" w:color="auto"/>
                                                    <w:left w:val="none" w:sz="0" w:space="0" w:color="auto"/>
                                                    <w:bottom w:val="single" w:sz="6" w:space="0" w:color="DADCE0"/>
                                                    <w:right w:val="none" w:sz="0" w:space="0" w:color="auto"/>
                                                  </w:divBdr>
                                                  <w:divsChild>
                                                    <w:div w:id="1357929190">
                                                      <w:marLeft w:val="0"/>
                                                      <w:marRight w:val="0"/>
                                                      <w:marTop w:val="0"/>
                                                      <w:marBottom w:val="0"/>
                                                      <w:divBdr>
                                                        <w:top w:val="none" w:sz="0" w:space="0" w:color="auto"/>
                                                        <w:left w:val="none" w:sz="0" w:space="0" w:color="auto"/>
                                                        <w:bottom w:val="none" w:sz="0" w:space="0" w:color="auto"/>
                                                        <w:right w:val="none" w:sz="0" w:space="0" w:color="auto"/>
                                                      </w:divBdr>
                                                      <w:divsChild>
                                                        <w:div w:id="362096417">
                                                          <w:marLeft w:val="0"/>
                                                          <w:marRight w:val="0"/>
                                                          <w:marTop w:val="0"/>
                                                          <w:marBottom w:val="0"/>
                                                          <w:divBdr>
                                                            <w:top w:val="none" w:sz="0" w:space="0" w:color="auto"/>
                                                            <w:left w:val="none" w:sz="0" w:space="0" w:color="auto"/>
                                                            <w:bottom w:val="none" w:sz="0" w:space="0" w:color="auto"/>
                                                            <w:right w:val="none" w:sz="0" w:space="0" w:color="auto"/>
                                                          </w:divBdr>
                                                        </w:div>
                                                        <w:div w:id="5644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63840">
                                                  <w:marLeft w:val="0"/>
                                                  <w:marRight w:val="0"/>
                                                  <w:marTop w:val="0"/>
                                                  <w:marBottom w:val="0"/>
                                                  <w:divBdr>
                                                    <w:top w:val="none" w:sz="0" w:space="0" w:color="auto"/>
                                                    <w:left w:val="none" w:sz="0" w:space="0" w:color="auto"/>
                                                    <w:bottom w:val="none" w:sz="0" w:space="0" w:color="auto"/>
                                                    <w:right w:val="none" w:sz="0" w:space="0" w:color="auto"/>
                                                  </w:divBdr>
                                                  <w:divsChild>
                                                    <w:div w:id="2083940560">
                                                      <w:marLeft w:val="0"/>
                                                      <w:marRight w:val="0"/>
                                                      <w:marTop w:val="0"/>
                                                      <w:marBottom w:val="0"/>
                                                      <w:divBdr>
                                                        <w:top w:val="none" w:sz="0" w:space="0" w:color="auto"/>
                                                        <w:left w:val="none" w:sz="0" w:space="0" w:color="auto"/>
                                                        <w:bottom w:val="none" w:sz="0" w:space="0" w:color="auto"/>
                                                        <w:right w:val="none" w:sz="0" w:space="0" w:color="auto"/>
                                                      </w:divBdr>
                                                      <w:divsChild>
                                                        <w:div w:id="158273532">
                                                          <w:marLeft w:val="0"/>
                                                          <w:marRight w:val="0"/>
                                                          <w:marTop w:val="0"/>
                                                          <w:marBottom w:val="0"/>
                                                          <w:divBdr>
                                                            <w:top w:val="none" w:sz="0" w:space="0" w:color="auto"/>
                                                            <w:left w:val="none" w:sz="0" w:space="0" w:color="auto"/>
                                                            <w:bottom w:val="none" w:sz="0" w:space="0" w:color="auto"/>
                                                            <w:right w:val="none" w:sz="0" w:space="0" w:color="auto"/>
                                                          </w:divBdr>
                                                        </w:div>
                                                        <w:div w:id="8747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58642">
                                                  <w:marLeft w:val="0"/>
                                                  <w:marRight w:val="0"/>
                                                  <w:marTop w:val="0"/>
                                                  <w:marBottom w:val="0"/>
                                                  <w:divBdr>
                                                    <w:top w:val="none" w:sz="0" w:space="0" w:color="auto"/>
                                                    <w:left w:val="none" w:sz="0" w:space="0" w:color="auto"/>
                                                    <w:bottom w:val="none" w:sz="0" w:space="0" w:color="auto"/>
                                                    <w:right w:val="none" w:sz="0" w:space="0" w:color="auto"/>
                                                  </w:divBdr>
                                                  <w:divsChild>
                                                    <w:div w:id="1323653833">
                                                      <w:marLeft w:val="0"/>
                                                      <w:marRight w:val="0"/>
                                                      <w:marTop w:val="0"/>
                                                      <w:marBottom w:val="0"/>
                                                      <w:divBdr>
                                                        <w:top w:val="none" w:sz="0" w:space="0" w:color="auto"/>
                                                        <w:left w:val="none" w:sz="0" w:space="0" w:color="auto"/>
                                                        <w:bottom w:val="none" w:sz="0" w:space="0" w:color="auto"/>
                                                        <w:right w:val="none" w:sz="0" w:space="0" w:color="auto"/>
                                                      </w:divBdr>
                                                      <w:divsChild>
                                                        <w:div w:id="656302789">
                                                          <w:marLeft w:val="0"/>
                                                          <w:marRight w:val="0"/>
                                                          <w:marTop w:val="0"/>
                                                          <w:marBottom w:val="0"/>
                                                          <w:divBdr>
                                                            <w:top w:val="none" w:sz="0" w:space="0" w:color="auto"/>
                                                            <w:left w:val="none" w:sz="0" w:space="0" w:color="auto"/>
                                                            <w:bottom w:val="none" w:sz="0" w:space="0" w:color="auto"/>
                                                            <w:right w:val="none" w:sz="0" w:space="0" w:color="auto"/>
                                                          </w:divBdr>
                                                          <w:divsChild>
                                                            <w:div w:id="114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383972">
      <w:bodyDiv w:val="1"/>
      <w:marLeft w:val="0"/>
      <w:marRight w:val="0"/>
      <w:marTop w:val="0"/>
      <w:marBottom w:val="0"/>
      <w:divBdr>
        <w:top w:val="none" w:sz="0" w:space="0" w:color="auto"/>
        <w:left w:val="none" w:sz="0" w:space="0" w:color="auto"/>
        <w:bottom w:val="none" w:sz="0" w:space="0" w:color="auto"/>
        <w:right w:val="none" w:sz="0" w:space="0" w:color="auto"/>
      </w:divBdr>
    </w:div>
    <w:div w:id="416752605">
      <w:bodyDiv w:val="1"/>
      <w:marLeft w:val="0"/>
      <w:marRight w:val="0"/>
      <w:marTop w:val="0"/>
      <w:marBottom w:val="0"/>
      <w:divBdr>
        <w:top w:val="none" w:sz="0" w:space="0" w:color="auto"/>
        <w:left w:val="none" w:sz="0" w:space="0" w:color="auto"/>
        <w:bottom w:val="none" w:sz="0" w:space="0" w:color="auto"/>
        <w:right w:val="none" w:sz="0" w:space="0" w:color="auto"/>
      </w:divBdr>
    </w:div>
    <w:div w:id="465661164">
      <w:bodyDiv w:val="1"/>
      <w:marLeft w:val="0"/>
      <w:marRight w:val="0"/>
      <w:marTop w:val="0"/>
      <w:marBottom w:val="0"/>
      <w:divBdr>
        <w:top w:val="none" w:sz="0" w:space="0" w:color="auto"/>
        <w:left w:val="none" w:sz="0" w:space="0" w:color="auto"/>
        <w:bottom w:val="none" w:sz="0" w:space="0" w:color="auto"/>
        <w:right w:val="none" w:sz="0" w:space="0" w:color="auto"/>
      </w:divBdr>
    </w:div>
    <w:div w:id="522784727">
      <w:bodyDiv w:val="1"/>
      <w:marLeft w:val="0"/>
      <w:marRight w:val="0"/>
      <w:marTop w:val="0"/>
      <w:marBottom w:val="0"/>
      <w:divBdr>
        <w:top w:val="none" w:sz="0" w:space="0" w:color="auto"/>
        <w:left w:val="none" w:sz="0" w:space="0" w:color="auto"/>
        <w:bottom w:val="none" w:sz="0" w:space="0" w:color="auto"/>
        <w:right w:val="none" w:sz="0" w:space="0" w:color="auto"/>
      </w:divBdr>
      <w:divsChild>
        <w:div w:id="117382307">
          <w:marLeft w:val="0"/>
          <w:marRight w:val="0"/>
          <w:marTop w:val="0"/>
          <w:marBottom w:val="0"/>
          <w:divBdr>
            <w:top w:val="none" w:sz="0" w:space="0" w:color="auto"/>
            <w:left w:val="none" w:sz="0" w:space="0" w:color="auto"/>
            <w:bottom w:val="none" w:sz="0" w:space="0" w:color="auto"/>
            <w:right w:val="none" w:sz="0" w:space="0" w:color="auto"/>
          </w:divBdr>
          <w:divsChild>
            <w:div w:id="1861626696">
              <w:marLeft w:val="-113"/>
              <w:marRight w:val="-113"/>
              <w:marTop w:val="0"/>
              <w:marBottom w:val="0"/>
              <w:divBdr>
                <w:top w:val="none" w:sz="0" w:space="0" w:color="auto"/>
                <w:left w:val="none" w:sz="0" w:space="0" w:color="auto"/>
                <w:bottom w:val="none" w:sz="0" w:space="0" w:color="auto"/>
                <w:right w:val="none" w:sz="0" w:space="0" w:color="auto"/>
              </w:divBdr>
              <w:divsChild>
                <w:div w:id="1009256234">
                  <w:marLeft w:val="0"/>
                  <w:marRight w:val="0"/>
                  <w:marTop w:val="0"/>
                  <w:marBottom w:val="0"/>
                  <w:divBdr>
                    <w:top w:val="none" w:sz="0" w:space="0" w:color="auto"/>
                    <w:left w:val="none" w:sz="0" w:space="0" w:color="auto"/>
                    <w:bottom w:val="none" w:sz="0" w:space="0" w:color="auto"/>
                    <w:right w:val="none" w:sz="0" w:space="0" w:color="auto"/>
                  </w:divBdr>
                  <w:divsChild>
                    <w:div w:id="753628223">
                      <w:marLeft w:val="-113"/>
                      <w:marRight w:val="-113"/>
                      <w:marTop w:val="0"/>
                      <w:marBottom w:val="0"/>
                      <w:divBdr>
                        <w:top w:val="none" w:sz="0" w:space="0" w:color="auto"/>
                        <w:left w:val="none" w:sz="0" w:space="0" w:color="auto"/>
                        <w:bottom w:val="none" w:sz="0" w:space="0" w:color="auto"/>
                        <w:right w:val="none" w:sz="0" w:space="0" w:color="auto"/>
                      </w:divBdr>
                      <w:divsChild>
                        <w:div w:id="1527063963">
                          <w:marLeft w:val="0"/>
                          <w:marRight w:val="0"/>
                          <w:marTop w:val="0"/>
                          <w:marBottom w:val="0"/>
                          <w:divBdr>
                            <w:top w:val="none" w:sz="0" w:space="0" w:color="auto"/>
                            <w:left w:val="none" w:sz="0" w:space="0" w:color="auto"/>
                            <w:bottom w:val="none" w:sz="0" w:space="0" w:color="auto"/>
                            <w:right w:val="none" w:sz="0" w:space="0" w:color="auto"/>
                          </w:divBdr>
                          <w:divsChild>
                            <w:div w:id="834614138">
                              <w:marLeft w:val="-113"/>
                              <w:marRight w:val="-113"/>
                              <w:marTop w:val="0"/>
                              <w:marBottom w:val="0"/>
                              <w:divBdr>
                                <w:top w:val="none" w:sz="0" w:space="0" w:color="auto"/>
                                <w:left w:val="none" w:sz="0" w:space="0" w:color="auto"/>
                                <w:bottom w:val="none" w:sz="0" w:space="0" w:color="auto"/>
                                <w:right w:val="none" w:sz="0" w:space="0" w:color="auto"/>
                              </w:divBdr>
                              <w:divsChild>
                                <w:div w:id="10731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78958">
      <w:bodyDiv w:val="1"/>
      <w:marLeft w:val="0"/>
      <w:marRight w:val="0"/>
      <w:marTop w:val="0"/>
      <w:marBottom w:val="0"/>
      <w:divBdr>
        <w:top w:val="none" w:sz="0" w:space="0" w:color="auto"/>
        <w:left w:val="none" w:sz="0" w:space="0" w:color="auto"/>
        <w:bottom w:val="none" w:sz="0" w:space="0" w:color="auto"/>
        <w:right w:val="none" w:sz="0" w:space="0" w:color="auto"/>
      </w:divBdr>
    </w:div>
    <w:div w:id="605381579">
      <w:bodyDiv w:val="1"/>
      <w:marLeft w:val="0"/>
      <w:marRight w:val="0"/>
      <w:marTop w:val="0"/>
      <w:marBottom w:val="0"/>
      <w:divBdr>
        <w:top w:val="none" w:sz="0" w:space="0" w:color="auto"/>
        <w:left w:val="none" w:sz="0" w:space="0" w:color="auto"/>
        <w:bottom w:val="none" w:sz="0" w:space="0" w:color="auto"/>
        <w:right w:val="none" w:sz="0" w:space="0" w:color="auto"/>
      </w:divBdr>
    </w:div>
    <w:div w:id="618141896">
      <w:bodyDiv w:val="1"/>
      <w:marLeft w:val="0"/>
      <w:marRight w:val="0"/>
      <w:marTop w:val="0"/>
      <w:marBottom w:val="0"/>
      <w:divBdr>
        <w:top w:val="none" w:sz="0" w:space="0" w:color="auto"/>
        <w:left w:val="none" w:sz="0" w:space="0" w:color="auto"/>
        <w:bottom w:val="none" w:sz="0" w:space="0" w:color="auto"/>
        <w:right w:val="none" w:sz="0" w:space="0" w:color="auto"/>
      </w:divBdr>
    </w:div>
    <w:div w:id="626353618">
      <w:bodyDiv w:val="1"/>
      <w:marLeft w:val="0"/>
      <w:marRight w:val="0"/>
      <w:marTop w:val="0"/>
      <w:marBottom w:val="0"/>
      <w:divBdr>
        <w:top w:val="none" w:sz="0" w:space="0" w:color="auto"/>
        <w:left w:val="none" w:sz="0" w:space="0" w:color="auto"/>
        <w:bottom w:val="none" w:sz="0" w:space="0" w:color="auto"/>
        <w:right w:val="none" w:sz="0" w:space="0" w:color="auto"/>
      </w:divBdr>
    </w:div>
    <w:div w:id="646908061">
      <w:bodyDiv w:val="1"/>
      <w:marLeft w:val="0"/>
      <w:marRight w:val="0"/>
      <w:marTop w:val="0"/>
      <w:marBottom w:val="0"/>
      <w:divBdr>
        <w:top w:val="none" w:sz="0" w:space="0" w:color="auto"/>
        <w:left w:val="none" w:sz="0" w:space="0" w:color="auto"/>
        <w:bottom w:val="none" w:sz="0" w:space="0" w:color="auto"/>
        <w:right w:val="none" w:sz="0" w:space="0" w:color="auto"/>
      </w:divBdr>
    </w:div>
    <w:div w:id="660161196">
      <w:bodyDiv w:val="1"/>
      <w:marLeft w:val="0"/>
      <w:marRight w:val="0"/>
      <w:marTop w:val="0"/>
      <w:marBottom w:val="0"/>
      <w:divBdr>
        <w:top w:val="none" w:sz="0" w:space="0" w:color="auto"/>
        <w:left w:val="none" w:sz="0" w:space="0" w:color="auto"/>
        <w:bottom w:val="none" w:sz="0" w:space="0" w:color="auto"/>
        <w:right w:val="none" w:sz="0" w:space="0" w:color="auto"/>
      </w:divBdr>
    </w:div>
    <w:div w:id="917976577">
      <w:bodyDiv w:val="1"/>
      <w:marLeft w:val="0"/>
      <w:marRight w:val="0"/>
      <w:marTop w:val="0"/>
      <w:marBottom w:val="0"/>
      <w:divBdr>
        <w:top w:val="none" w:sz="0" w:space="0" w:color="auto"/>
        <w:left w:val="none" w:sz="0" w:space="0" w:color="auto"/>
        <w:bottom w:val="none" w:sz="0" w:space="0" w:color="auto"/>
        <w:right w:val="none" w:sz="0" w:space="0" w:color="auto"/>
      </w:divBdr>
    </w:div>
    <w:div w:id="940332131">
      <w:bodyDiv w:val="1"/>
      <w:marLeft w:val="0"/>
      <w:marRight w:val="0"/>
      <w:marTop w:val="0"/>
      <w:marBottom w:val="0"/>
      <w:divBdr>
        <w:top w:val="none" w:sz="0" w:space="0" w:color="auto"/>
        <w:left w:val="none" w:sz="0" w:space="0" w:color="auto"/>
        <w:bottom w:val="none" w:sz="0" w:space="0" w:color="auto"/>
        <w:right w:val="none" w:sz="0" w:space="0" w:color="auto"/>
      </w:divBdr>
    </w:div>
    <w:div w:id="965503141">
      <w:bodyDiv w:val="1"/>
      <w:marLeft w:val="0"/>
      <w:marRight w:val="0"/>
      <w:marTop w:val="0"/>
      <w:marBottom w:val="0"/>
      <w:divBdr>
        <w:top w:val="none" w:sz="0" w:space="0" w:color="auto"/>
        <w:left w:val="none" w:sz="0" w:space="0" w:color="auto"/>
        <w:bottom w:val="none" w:sz="0" w:space="0" w:color="auto"/>
        <w:right w:val="none" w:sz="0" w:space="0" w:color="auto"/>
      </w:divBdr>
    </w:div>
    <w:div w:id="1032457832">
      <w:bodyDiv w:val="1"/>
      <w:marLeft w:val="0"/>
      <w:marRight w:val="0"/>
      <w:marTop w:val="0"/>
      <w:marBottom w:val="0"/>
      <w:divBdr>
        <w:top w:val="none" w:sz="0" w:space="0" w:color="auto"/>
        <w:left w:val="none" w:sz="0" w:space="0" w:color="auto"/>
        <w:bottom w:val="none" w:sz="0" w:space="0" w:color="auto"/>
        <w:right w:val="none" w:sz="0" w:space="0" w:color="auto"/>
      </w:divBdr>
    </w:div>
    <w:div w:id="1044788058">
      <w:bodyDiv w:val="1"/>
      <w:marLeft w:val="0"/>
      <w:marRight w:val="0"/>
      <w:marTop w:val="0"/>
      <w:marBottom w:val="0"/>
      <w:divBdr>
        <w:top w:val="none" w:sz="0" w:space="0" w:color="auto"/>
        <w:left w:val="none" w:sz="0" w:space="0" w:color="auto"/>
        <w:bottom w:val="none" w:sz="0" w:space="0" w:color="auto"/>
        <w:right w:val="none" w:sz="0" w:space="0" w:color="auto"/>
      </w:divBdr>
    </w:div>
    <w:div w:id="1052996616">
      <w:bodyDiv w:val="1"/>
      <w:marLeft w:val="0"/>
      <w:marRight w:val="0"/>
      <w:marTop w:val="0"/>
      <w:marBottom w:val="0"/>
      <w:divBdr>
        <w:top w:val="none" w:sz="0" w:space="0" w:color="auto"/>
        <w:left w:val="none" w:sz="0" w:space="0" w:color="auto"/>
        <w:bottom w:val="none" w:sz="0" w:space="0" w:color="auto"/>
        <w:right w:val="none" w:sz="0" w:space="0" w:color="auto"/>
      </w:divBdr>
    </w:div>
    <w:div w:id="1116564502">
      <w:bodyDiv w:val="1"/>
      <w:marLeft w:val="0"/>
      <w:marRight w:val="0"/>
      <w:marTop w:val="0"/>
      <w:marBottom w:val="0"/>
      <w:divBdr>
        <w:top w:val="none" w:sz="0" w:space="0" w:color="auto"/>
        <w:left w:val="none" w:sz="0" w:space="0" w:color="auto"/>
        <w:bottom w:val="none" w:sz="0" w:space="0" w:color="auto"/>
        <w:right w:val="none" w:sz="0" w:space="0" w:color="auto"/>
      </w:divBdr>
      <w:divsChild>
        <w:div w:id="1670674015">
          <w:marLeft w:val="130"/>
          <w:marRight w:val="0"/>
          <w:marTop w:val="120"/>
          <w:marBottom w:val="0"/>
          <w:divBdr>
            <w:top w:val="none" w:sz="0" w:space="0" w:color="auto"/>
            <w:left w:val="none" w:sz="0" w:space="0" w:color="auto"/>
            <w:bottom w:val="none" w:sz="0" w:space="0" w:color="auto"/>
            <w:right w:val="none" w:sz="0" w:space="0" w:color="auto"/>
          </w:divBdr>
        </w:div>
      </w:divsChild>
    </w:div>
    <w:div w:id="1241210506">
      <w:bodyDiv w:val="1"/>
      <w:marLeft w:val="0"/>
      <w:marRight w:val="0"/>
      <w:marTop w:val="0"/>
      <w:marBottom w:val="0"/>
      <w:divBdr>
        <w:top w:val="none" w:sz="0" w:space="0" w:color="auto"/>
        <w:left w:val="none" w:sz="0" w:space="0" w:color="auto"/>
        <w:bottom w:val="none" w:sz="0" w:space="0" w:color="auto"/>
        <w:right w:val="none" w:sz="0" w:space="0" w:color="auto"/>
      </w:divBdr>
    </w:div>
    <w:div w:id="1266883232">
      <w:bodyDiv w:val="1"/>
      <w:marLeft w:val="0"/>
      <w:marRight w:val="0"/>
      <w:marTop w:val="0"/>
      <w:marBottom w:val="0"/>
      <w:divBdr>
        <w:top w:val="none" w:sz="0" w:space="0" w:color="auto"/>
        <w:left w:val="none" w:sz="0" w:space="0" w:color="auto"/>
        <w:bottom w:val="none" w:sz="0" w:space="0" w:color="auto"/>
        <w:right w:val="none" w:sz="0" w:space="0" w:color="auto"/>
      </w:divBdr>
    </w:div>
    <w:div w:id="1386611484">
      <w:bodyDiv w:val="1"/>
      <w:marLeft w:val="0"/>
      <w:marRight w:val="0"/>
      <w:marTop w:val="0"/>
      <w:marBottom w:val="0"/>
      <w:divBdr>
        <w:top w:val="none" w:sz="0" w:space="0" w:color="auto"/>
        <w:left w:val="none" w:sz="0" w:space="0" w:color="auto"/>
        <w:bottom w:val="none" w:sz="0" w:space="0" w:color="auto"/>
        <w:right w:val="none" w:sz="0" w:space="0" w:color="auto"/>
      </w:divBdr>
    </w:div>
    <w:div w:id="1395011594">
      <w:bodyDiv w:val="1"/>
      <w:marLeft w:val="0"/>
      <w:marRight w:val="0"/>
      <w:marTop w:val="0"/>
      <w:marBottom w:val="0"/>
      <w:divBdr>
        <w:top w:val="none" w:sz="0" w:space="0" w:color="auto"/>
        <w:left w:val="none" w:sz="0" w:space="0" w:color="auto"/>
        <w:bottom w:val="none" w:sz="0" w:space="0" w:color="auto"/>
        <w:right w:val="none" w:sz="0" w:space="0" w:color="auto"/>
      </w:divBdr>
    </w:div>
    <w:div w:id="1541624111">
      <w:bodyDiv w:val="1"/>
      <w:marLeft w:val="0"/>
      <w:marRight w:val="0"/>
      <w:marTop w:val="0"/>
      <w:marBottom w:val="0"/>
      <w:divBdr>
        <w:top w:val="none" w:sz="0" w:space="0" w:color="auto"/>
        <w:left w:val="none" w:sz="0" w:space="0" w:color="auto"/>
        <w:bottom w:val="none" w:sz="0" w:space="0" w:color="auto"/>
        <w:right w:val="none" w:sz="0" w:space="0" w:color="auto"/>
      </w:divBdr>
    </w:div>
    <w:div w:id="1547330318">
      <w:bodyDiv w:val="1"/>
      <w:marLeft w:val="0"/>
      <w:marRight w:val="0"/>
      <w:marTop w:val="0"/>
      <w:marBottom w:val="0"/>
      <w:divBdr>
        <w:top w:val="none" w:sz="0" w:space="0" w:color="auto"/>
        <w:left w:val="none" w:sz="0" w:space="0" w:color="auto"/>
        <w:bottom w:val="none" w:sz="0" w:space="0" w:color="auto"/>
        <w:right w:val="none" w:sz="0" w:space="0" w:color="auto"/>
      </w:divBdr>
    </w:div>
    <w:div w:id="1549024454">
      <w:bodyDiv w:val="1"/>
      <w:marLeft w:val="0"/>
      <w:marRight w:val="0"/>
      <w:marTop w:val="0"/>
      <w:marBottom w:val="0"/>
      <w:divBdr>
        <w:top w:val="none" w:sz="0" w:space="0" w:color="auto"/>
        <w:left w:val="none" w:sz="0" w:space="0" w:color="auto"/>
        <w:bottom w:val="none" w:sz="0" w:space="0" w:color="auto"/>
        <w:right w:val="none" w:sz="0" w:space="0" w:color="auto"/>
      </w:divBdr>
    </w:div>
    <w:div w:id="1585146996">
      <w:bodyDiv w:val="1"/>
      <w:marLeft w:val="0"/>
      <w:marRight w:val="0"/>
      <w:marTop w:val="0"/>
      <w:marBottom w:val="0"/>
      <w:divBdr>
        <w:top w:val="none" w:sz="0" w:space="0" w:color="auto"/>
        <w:left w:val="none" w:sz="0" w:space="0" w:color="auto"/>
        <w:bottom w:val="none" w:sz="0" w:space="0" w:color="auto"/>
        <w:right w:val="none" w:sz="0" w:space="0" w:color="auto"/>
      </w:divBdr>
    </w:div>
    <w:div w:id="1724019275">
      <w:bodyDiv w:val="1"/>
      <w:marLeft w:val="0"/>
      <w:marRight w:val="0"/>
      <w:marTop w:val="0"/>
      <w:marBottom w:val="0"/>
      <w:divBdr>
        <w:top w:val="none" w:sz="0" w:space="0" w:color="auto"/>
        <w:left w:val="none" w:sz="0" w:space="0" w:color="auto"/>
        <w:bottom w:val="none" w:sz="0" w:space="0" w:color="auto"/>
        <w:right w:val="none" w:sz="0" w:space="0" w:color="auto"/>
      </w:divBdr>
    </w:div>
    <w:div w:id="1736586066">
      <w:bodyDiv w:val="1"/>
      <w:marLeft w:val="0"/>
      <w:marRight w:val="0"/>
      <w:marTop w:val="0"/>
      <w:marBottom w:val="0"/>
      <w:divBdr>
        <w:top w:val="none" w:sz="0" w:space="0" w:color="auto"/>
        <w:left w:val="none" w:sz="0" w:space="0" w:color="auto"/>
        <w:bottom w:val="none" w:sz="0" w:space="0" w:color="auto"/>
        <w:right w:val="none" w:sz="0" w:space="0" w:color="auto"/>
      </w:divBdr>
    </w:div>
    <w:div w:id="1759017947">
      <w:bodyDiv w:val="1"/>
      <w:marLeft w:val="0"/>
      <w:marRight w:val="0"/>
      <w:marTop w:val="0"/>
      <w:marBottom w:val="0"/>
      <w:divBdr>
        <w:top w:val="none" w:sz="0" w:space="0" w:color="auto"/>
        <w:left w:val="none" w:sz="0" w:space="0" w:color="auto"/>
        <w:bottom w:val="none" w:sz="0" w:space="0" w:color="auto"/>
        <w:right w:val="none" w:sz="0" w:space="0" w:color="auto"/>
      </w:divBdr>
    </w:div>
    <w:div w:id="1774519332">
      <w:bodyDiv w:val="1"/>
      <w:marLeft w:val="0"/>
      <w:marRight w:val="0"/>
      <w:marTop w:val="0"/>
      <w:marBottom w:val="0"/>
      <w:divBdr>
        <w:top w:val="none" w:sz="0" w:space="0" w:color="auto"/>
        <w:left w:val="none" w:sz="0" w:space="0" w:color="auto"/>
        <w:bottom w:val="none" w:sz="0" w:space="0" w:color="auto"/>
        <w:right w:val="none" w:sz="0" w:space="0" w:color="auto"/>
      </w:divBdr>
    </w:div>
    <w:div w:id="1844393576">
      <w:bodyDiv w:val="1"/>
      <w:marLeft w:val="0"/>
      <w:marRight w:val="0"/>
      <w:marTop w:val="0"/>
      <w:marBottom w:val="0"/>
      <w:divBdr>
        <w:top w:val="none" w:sz="0" w:space="0" w:color="auto"/>
        <w:left w:val="none" w:sz="0" w:space="0" w:color="auto"/>
        <w:bottom w:val="none" w:sz="0" w:space="0" w:color="auto"/>
        <w:right w:val="none" w:sz="0" w:space="0" w:color="auto"/>
      </w:divBdr>
    </w:div>
    <w:div w:id="1891573203">
      <w:bodyDiv w:val="1"/>
      <w:marLeft w:val="0"/>
      <w:marRight w:val="0"/>
      <w:marTop w:val="0"/>
      <w:marBottom w:val="0"/>
      <w:divBdr>
        <w:top w:val="none" w:sz="0" w:space="0" w:color="auto"/>
        <w:left w:val="none" w:sz="0" w:space="0" w:color="auto"/>
        <w:bottom w:val="none" w:sz="0" w:space="0" w:color="auto"/>
        <w:right w:val="none" w:sz="0" w:space="0" w:color="auto"/>
      </w:divBdr>
      <w:divsChild>
        <w:div w:id="1864392797">
          <w:marLeft w:val="0"/>
          <w:marRight w:val="0"/>
          <w:marTop w:val="0"/>
          <w:marBottom w:val="0"/>
          <w:divBdr>
            <w:top w:val="none" w:sz="0" w:space="0" w:color="auto"/>
            <w:left w:val="none" w:sz="0" w:space="0" w:color="auto"/>
            <w:bottom w:val="none" w:sz="0" w:space="0" w:color="auto"/>
            <w:right w:val="none" w:sz="0" w:space="0" w:color="auto"/>
          </w:divBdr>
          <w:divsChild>
            <w:div w:id="750084396">
              <w:marLeft w:val="0"/>
              <w:marRight w:val="0"/>
              <w:marTop w:val="0"/>
              <w:marBottom w:val="0"/>
              <w:divBdr>
                <w:top w:val="none" w:sz="0" w:space="0" w:color="auto"/>
                <w:left w:val="none" w:sz="0" w:space="0" w:color="auto"/>
                <w:bottom w:val="none" w:sz="0" w:space="0" w:color="auto"/>
                <w:right w:val="none" w:sz="0" w:space="0" w:color="auto"/>
              </w:divBdr>
              <w:divsChild>
                <w:div w:id="29379056">
                  <w:marLeft w:val="0"/>
                  <w:marRight w:val="0"/>
                  <w:marTop w:val="0"/>
                  <w:marBottom w:val="0"/>
                  <w:divBdr>
                    <w:top w:val="none" w:sz="0" w:space="0" w:color="auto"/>
                    <w:left w:val="none" w:sz="0" w:space="0" w:color="auto"/>
                    <w:bottom w:val="none" w:sz="0" w:space="0" w:color="auto"/>
                    <w:right w:val="none" w:sz="0" w:space="0" w:color="auto"/>
                  </w:divBdr>
                  <w:divsChild>
                    <w:div w:id="528681458">
                      <w:marLeft w:val="0"/>
                      <w:marRight w:val="0"/>
                      <w:marTop w:val="0"/>
                      <w:marBottom w:val="0"/>
                      <w:divBdr>
                        <w:top w:val="none" w:sz="0" w:space="0" w:color="auto"/>
                        <w:left w:val="none" w:sz="0" w:space="0" w:color="auto"/>
                        <w:bottom w:val="none" w:sz="0" w:space="0" w:color="auto"/>
                        <w:right w:val="none" w:sz="0" w:space="0" w:color="auto"/>
                      </w:divBdr>
                      <w:divsChild>
                        <w:div w:id="1677918732">
                          <w:marLeft w:val="0"/>
                          <w:marRight w:val="0"/>
                          <w:marTop w:val="0"/>
                          <w:marBottom w:val="0"/>
                          <w:divBdr>
                            <w:top w:val="none" w:sz="0" w:space="0" w:color="auto"/>
                            <w:left w:val="none" w:sz="0" w:space="0" w:color="auto"/>
                            <w:bottom w:val="none" w:sz="0" w:space="0" w:color="auto"/>
                            <w:right w:val="none" w:sz="0" w:space="0" w:color="auto"/>
                          </w:divBdr>
                          <w:divsChild>
                            <w:div w:id="1566643841">
                              <w:marLeft w:val="0"/>
                              <w:marRight w:val="0"/>
                              <w:marTop w:val="0"/>
                              <w:marBottom w:val="0"/>
                              <w:divBdr>
                                <w:top w:val="none" w:sz="0" w:space="0" w:color="auto"/>
                                <w:left w:val="none" w:sz="0" w:space="0" w:color="auto"/>
                                <w:bottom w:val="none" w:sz="0" w:space="0" w:color="auto"/>
                                <w:right w:val="none" w:sz="0" w:space="0" w:color="auto"/>
                              </w:divBdr>
                              <w:divsChild>
                                <w:div w:id="514854458">
                                  <w:marLeft w:val="0"/>
                                  <w:marRight w:val="0"/>
                                  <w:marTop w:val="0"/>
                                  <w:marBottom w:val="0"/>
                                  <w:divBdr>
                                    <w:top w:val="none" w:sz="0" w:space="0" w:color="auto"/>
                                    <w:left w:val="none" w:sz="0" w:space="0" w:color="auto"/>
                                    <w:bottom w:val="none" w:sz="0" w:space="0" w:color="auto"/>
                                    <w:right w:val="none" w:sz="0" w:space="0" w:color="auto"/>
                                  </w:divBdr>
                                  <w:divsChild>
                                    <w:div w:id="342587354">
                                      <w:marLeft w:val="0"/>
                                      <w:marRight w:val="0"/>
                                      <w:marTop w:val="0"/>
                                      <w:marBottom w:val="0"/>
                                      <w:divBdr>
                                        <w:top w:val="none" w:sz="0" w:space="0" w:color="auto"/>
                                        <w:left w:val="none" w:sz="0" w:space="0" w:color="auto"/>
                                        <w:bottom w:val="none" w:sz="0" w:space="0" w:color="auto"/>
                                        <w:right w:val="none" w:sz="0" w:space="0" w:color="auto"/>
                                      </w:divBdr>
                                      <w:divsChild>
                                        <w:div w:id="415134045">
                                          <w:marLeft w:val="0"/>
                                          <w:marRight w:val="0"/>
                                          <w:marTop w:val="0"/>
                                          <w:marBottom w:val="0"/>
                                          <w:divBdr>
                                            <w:top w:val="none" w:sz="0" w:space="0" w:color="auto"/>
                                            <w:left w:val="none" w:sz="0" w:space="0" w:color="auto"/>
                                            <w:bottom w:val="none" w:sz="0" w:space="0" w:color="auto"/>
                                            <w:right w:val="none" w:sz="0" w:space="0" w:color="auto"/>
                                          </w:divBdr>
                                          <w:divsChild>
                                            <w:div w:id="682826377">
                                              <w:marLeft w:val="0"/>
                                              <w:marRight w:val="0"/>
                                              <w:marTop w:val="0"/>
                                              <w:marBottom w:val="0"/>
                                              <w:divBdr>
                                                <w:top w:val="none" w:sz="0" w:space="0" w:color="auto"/>
                                                <w:left w:val="none" w:sz="0" w:space="0" w:color="auto"/>
                                                <w:bottom w:val="none" w:sz="0" w:space="0" w:color="auto"/>
                                                <w:right w:val="none" w:sz="0" w:space="0" w:color="auto"/>
                                              </w:divBdr>
                                              <w:divsChild>
                                                <w:div w:id="388920567">
                                                  <w:marLeft w:val="0"/>
                                                  <w:marRight w:val="0"/>
                                                  <w:marTop w:val="0"/>
                                                  <w:marBottom w:val="0"/>
                                                  <w:divBdr>
                                                    <w:top w:val="none" w:sz="0" w:space="0" w:color="auto"/>
                                                    <w:left w:val="none" w:sz="0" w:space="0" w:color="auto"/>
                                                    <w:bottom w:val="none" w:sz="0" w:space="0" w:color="auto"/>
                                                    <w:right w:val="none" w:sz="0" w:space="0" w:color="auto"/>
                                                  </w:divBdr>
                                                  <w:divsChild>
                                                    <w:div w:id="1134448659">
                                                      <w:marLeft w:val="0"/>
                                                      <w:marRight w:val="0"/>
                                                      <w:marTop w:val="0"/>
                                                      <w:marBottom w:val="0"/>
                                                      <w:divBdr>
                                                        <w:top w:val="none" w:sz="0" w:space="0" w:color="auto"/>
                                                        <w:left w:val="none" w:sz="0" w:space="0" w:color="auto"/>
                                                        <w:bottom w:val="none" w:sz="0" w:space="0" w:color="auto"/>
                                                        <w:right w:val="none" w:sz="0" w:space="0" w:color="auto"/>
                                                      </w:divBdr>
                                                      <w:divsChild>
                                                        <w:div w:id="1933975948">
                                                          <w:marLeft w:val="0"/>
                                                          <w:marRight w:val="0"/>
                                                          <w:marTop w:val="0"/>
                                                          <w:marBottom w:val="0"/>
                                                          <w:divBdr>
                                                            <w:top w:val="none" w:sz="0" w:space="0" w:color="auto"/>
                                                            <w:left w:val="none" w:sz="0" w:space="0" w:color="auto"/>
                                                            <w:bottom w:val="none" w:sz="0" w:space="0" w:color="auto"/>
                                                            <w:right w:val="none" w:sz="0" w:space="0" w:color="auto"/>
                                                          </w:divBdr>
                                                        </w:div>
                                                        <w:div w:id="20602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6405">
                                                  <w:marLeft w:val="0"/>
                                                  <w:marRight w:val="0"/>
                                                  <w:marTop w:val="0"/>
                                                  <w:marBottom w:val="0"/>
                                                  <w:divBdr>
                                                    <w:top w:val="none" w:sz="0" w:space="0" w:color="auto"/>
                                                    <w:left w:val="none" w:sz="0" w:space="0" w:color="auto"/>
                                                    <w:bottom w:val="none" w:sz="0" w:space="0" w:color="auto"/>
                                                    <w:right w:val="none" w:sz="0" w:space="0" w:color="auto"/>
                                                  </w:divBdr>
                                                  <w:divsChild>
                                                    <w:div w:id="1148010642">
                                                      <w:marLeft w:val="0"/>
                                                      <w:marRight w:val="0"/>
                                                      <w:marTop w:val="0"/>
                                                      <w:marBottom w:val="0"/>
                                                      <w:divBdr>
                                                        <w:top w:val="none" w:sz="0" w:space="0" w:color="auto"/>
                                                        <w:left w:val="none" w:sz="0" w:space="0" w:color="auto"/>
                                                        <w:bottom w:val="none" w:sz="0" w:space="0" w:color="auto"/>
                                                        <w:right w:val="none" w:sz="0" w:space="0" w:color="auto"/>
                                                      </w:divBdr>
                                                      <w:divsChild>
                                                        <w:div w:id="270403156">
                                                          <w:marLeft w:val="0"/>
                                                          <w:marRight w:val="0"/>
                                                          <w:marTop w:val="0"/>
                                                          <w:marBottom w:val="0"/>
                                                          <w:divBdr>
                                                            <w:top w:val="none" w:sz="0" w:space="0" w:color="auto"/>
                                                            <w:left w:val="none" w:sz="0" w:space="0" w:color="auto"/>
                                                            <w:bottom w:val="none" w:sz="0" w:space="0" w:color="auto"/>
                                                            <w:right w:val="none" w:sz="0" w:space="0" w:color="auto"/>
                                                          </w:divBdr>
                                                          <w:divsChild>
                                                            <w:div w:id="13359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6373">
                                                      <w:marLeft w:val="0"/>
                                                      <w:marRight w:val="0"/>
                                                      <w:marTop w:val="0"/>
                                                      <w:marBottom w:val="0"/>
                                                      <w:divBdr>
                                                        <w:top w:val="none" w:sz="0" w:space="0" w:color="auto"/>
                                                        <w:left w:val="none" w:sz="0" w:space="0" w:color="auto"/>
                                                        <w:bottom w:val="none" w:sz="0" w:space="0" w:color="auto"/>
                                                        <w:right w:val="none" w:sz="0" w:space="0" w:color="auto"/>
                                                      </w:divBdr>
                                                    </w:div>
                                                  </w:divsChild>
                                                </w:div>
                                                <w:div w:id="945816286">
                                                  <w:marLeft w:val="0"/>
                                                  <w:marRight w:val="0"/>
                                                  <w:marTop w:val="0"/>
                                                  <w:marBottom w:val="0"/>
                                                  <w:divBdr>
                                                    <w:top w:val="none" w:sz="0" w:space="0" w:color="auto"/>
                                                    <w:left w:val="none" w:sz="0" w:space="0" w:color="auto"/>
                                                    <w:bottom w:val="single" w:sz="6" w:space="0" w:color="DADCE0"/>
                                                    <w:right w:val="none" w:sz="0" w:space="0" w:color="auto"/>
                                                  </w:divBdr>
                                                  <w:divsChild>
                                                    <w:div w:id="1593390298">
                                                      <w:marLeft w:val="0"/>
                                                      <w:marRight w:val="0"/>
                                                      <w:marTop w:val="0"/>
                                                      <w:marBottom w:val="0"/>
                                                      <w:divBdr>
                                                        <w:top w:val="none" w:sz="0" w:space="0" w:color="auto"/>
                                                        <w:left w:val="none" w:sz="0" w:space="0" w:color="auto"/>
                                                        <w:bottom w:val="none" w:sz="0" w:space="0" w:color="auto"/>
                                                        <w:right w:val="none" w:sz="0" w:space="0" w:color="auto"/>
                                                      </w:divBdr>
                                                      <w:divsChild>
                                                        <w:div w:id="309939742">
                                                          <w:marLeft w:val="0"/>
                                                          <w:marRight w:val="0"/>
                                                          <w:marTop w:val="0"/>
                                                          <w:marBottom w:val="0"/>
                                                          <w:divBdr>
                                                            <w:top w:val="none" w:sz="0" w:space="0" w:color="auto"/>
                                                            <w:left w:val="none" w:sz="0" w:space="0" w:color="auto"/>
                                                            <w:bottom w:val="none" w:sz="0" w:space="0" w:color="auto"/>
                                                            <w:right w:val="none" w:sz="0" w:space="0" w:color="auto"/>
                                                          </w:divBdr>
                                                        </w:div>
                                                        <w:div w:id="17472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9848">
                                                  <w:marLeft w:val="0"/>
                                                  <w:marRight w:val="0"/>
                                                  <w:marTop w:val="0"/>
                                                  <w:marBottom w:val="0"/>
                                                  <w:divBdr>
                                                    <w:top w:val="none" w:sz="0" w:space="0" w:color="auto"/>
                                                    <w:left w:val="none" w:sz="0" w:space="0" w:color="auto"/>
                                                    <w:bottom w:val="single" w:sz="6" w:space="0" w:color="DADCE0"/>
                                                    <w:right w:val="none" w:sz="0" w:space="0" w:color="auto"/>
                                                  </w:divBdr>
                                                  <w:divsChild>
                                                    <w:div w:id="621618777">
                                                      <w:marLeft w:val="0"/>
                                                      <w:marRight w:val="0"/>
                                                      <w:marTop w:val="0"/>
                                                      <w:marBottom w:val="0"/>
                                                      <w:divBdr>
                                                        <w:top w:val="none" w:sz="0" w:space="0" w:color="auto"/>
                                                        <w:left w:val="none" w:sz="0" w:space="0" w:color="auto"/>
                                                        <w:bottom w:val="none" w:sz="0" w:space="0" w:color="auto"/>
                                                        <w:right w:val="none" w:sz="0" w:space="0" w:color="auto"/>
                                                      </w:divBdr>
                                                      <w:divsChild>
                                                        <w:div w:id="563292874">
                                                          <w:marLeft w:val="0"/>
                                                          <w:marRight w:val="0"/>
                                                          <w:marTop w:val="0"/>
                                                          <w:marBottom w:val="0"/>
                                                          <w:divBdr>
                                                            <w:top w:val="none" w:sz="0" w:space="0" w:color="auto"/>
                                                            <w:left w:val="none" w:sz="0" w:space="0" w:color="auto"/>
                                                            <w:bottom w:val="none" w:sz="0" w:space="0" w:color="auto"/>
                                                            <w:right w:val="none" w:sz="0" w:space="0" w:color="auto"/>
                                                          </w:divBdr>
                                                        </w:div>
                                                        <w:div w:id="21222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5788773">
      <w:bodyDiv w:val="1"/>
      <w:marLeft w:val="0"/>
      <w:marRight w:val="0"/>
      <w:marTop w:val="0"/>
      <w:marBottom w:val="0"/>
      <w:divBdr>
        <w:top w:val="none" w:sz="0" w:space="0" w:color="auto"/>
        <w:left w:val="none" w:sz="0" w:space="0" w:color="auto"/>
        <w:bottom w:val="none" w:sz="0" w:space="0" w:color="auto"/>
        <w:right w:val="none" w:sz="0" w:space="0" w:color="auto"/>
      </w:divBdr>
    </w:div>
    <w:div w:id="2020546561">
      <w:bodyDiv w:val="1"/>
      <w:marLeft w:val="0"/>
      <w:marRight w:val="0"/>
      <w:marTop w:val="0"/>
      <w:marBottom w:val="0"/>
      <w:divBdr>
        <w:top w:val="none" w:sz="0" w:space="0" w:color="auto"/>
        <w:left w:val="none" w:sz="0" w:space="0" w:color="auto"/>
        <w:bottom w:val="none" w:sz="0" w:space="0" w:color="auto"/>
        <w:right w:val="none" w:sz="0" w:space="0" w:color="auto"/>
      </w:divBdr>
    </w:div>
    <w:div w:id="2069647413">
      <w:bodyDiv w:val="1"/>
      <w:marLeft w:val="0"/>
      <w:marRight w:val="0"/>
      <w:marTop w:val="0"/>
      <w:marBottom w:val="0"/>
      <w:divBdr>
        <w:top w:val="none" w:sz="0" w:space="0" w:color="auto"/>
        <w:left w:val="none" w:sz="0" w:space="0" w:color="auto"/>
        <w:bottom w:val="none" w:sz="0" w:space="0" w:color="auto"/>
        <w:right w:val="none" w:sz="0" w:space="0" w:color="auto"/>
      </w:divBdr>
    </w:div>
    <w:div w:id="2075662838">
      <w:bodyDiv w:val="1"/>
      <w:marLeft w:val="0"/>
      <w:marRight w:val="0"/>
      <w:marTop w:val="0"/>
      <w:marBottom w:val="0"/>
      <w:divBdr>
        <w:top w:val="none" w:sz="0" w:space="0" w:color="auto"/>
        <w:left w:val="none" w:sz="0" w:space="0" w:color="auto"/>
        <w:bottom w:val="none" w:sz="0" w:space="0" w:color="auto"/>
        <w:right w:val="none" w:sz="0" w:space="0" w:color="auto"/>
      </w:divBdr>
    </w:div>
    <w:div w:id="2081557182">
      <w:bodyDiv w:val="1"/>
      <w:marLeft w:val="0"/>
      <w:marRight w:val="0"/>
      <w:marTop w:val="0"/>
      <w:marBottom w:val="0"/>
      <w:divBdr>
        <w:top w:val="none" w:sz="0" w:space="0" w:color="auto"/>
        <w:left w:val="none" w:sz="0" w:space="0" w:color="auto"/>
        <w:bottom w:val="none" w:sz="0" w:space="0" w:color="auto"/>
        <w:right w:val="none" w:sz="0" w:space="0" w:color="auto"/>
      </w:divBdr>
    </w:div>
    <w:div w:id="2099249687">
      <w:bodyDiv w:val="1"/>
      <w:marLeft w:val="0"/>
      <w:marRight w:val="0"/>
      <w:marTop w:val="0"/>
      <w:marBottom w:val="0"/>
      <w:divBdr>
        <w:top w:val="none" w:sz="0" w:space="0" w:color="auto"/>
        <w:left w:val="none" w:sz="0" w:space="0" w:color="auto"/>
        <w:bottom w:val="none" w:sz="0" w:space="0" w:color="auto"/>
        <w:right w:val="none" w:sz="0" w:space="0" w:color="auto"/>
      </w:divBdr>
      <w:divsChild>
        <w:div w:id="97331102">
          <w:marLeft w:val="-240"/>
          <w:marRight w:val="-240"/>
          <w:marTop w:val="0"/>
          <w:marBottom w:val="0"/>
          <w:divBdr>
            <w:top w:val="none" w:sz="0" w:space="0" w:color="auto"/>
            <w:left w:val="none" w:sz="0" w:space="0" w:color="auto"/>
            <w:bottom w:val="none" w:sz="0" w:space="0" w:color="auto"/>
            <w:right w:val="none" w:sz="0" w:space="0" w:color="auto"/>
          </w:divBdr>
          <w:divsChild>
            <w:div w:id="2090809561">
              <w:marLeft w:val="0"/>
              <w:marRight w:val="0"/>
              <w:marTop w:val="0"/>
              <w:marBottom w:val="0"/>
              <w:divBdr>
                <w:top w:val="none" w:sz="0" w:space="0" w:color="auto"/>
                <w:left w:val="none" w:sz="0" w:space="0" w:color="auto"/>
                <w:bottom w:val="none" w:sz="0" w:space="0" w:color="auto"/>
                <w:right w:val="none" w:sz="0" w:space="0" w:color="auto"/>
              </w:divBdr>
              <w:divsChild>
                <w:div w:id="11719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iraeusholdings.gr/en/investors/financials/financial-state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iraeusholdings.gr/el/investors/financials/financial-results-categor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corporatecolors">
      <a:dk1>
        <a:sysClr val="windowText" lastClr="000000"/>
      </a:dk1>
      <a:lt1>
        <a:sysClr val="window" lastClr="FFFFFF"/>
      </a:lt1>
      <a:dk2>
        <a:srgbClr val="003C96"/>
      </a:dk2>
      <a:lt2>
        <a:srgbClr val="D9D9D9"/>
      </a:lt2>
      <a:accent1>
        <a:srgbClr val="3A73AE"/>
      </a:accent1>
      <a:accent2>
        <a:srgbClr val="D1AA70"/>
      </a:accent2>
      <a:accent3>
        <a:srgbClr val="464646"/>
      </a:accent3>
      <a:accent4>
        <a:srgbClr val="FAB414"/>
      </a:accent4>
      <a:accent5>
        <a:srgbClr val="FF0000"/>
      </a:accent5>
      <a:accent6>
        <a:srgbClr val="00B050"/>
      </a:accent6>
      <a:hlink>
        <a:srgbClr val="0070C0"/>
      </a:hlink>
      <a:folHlink>
        <a:srgbClr val="7030A0"/>
      </a:folHlink>
    </a:clrScheme>
    <a:fontScheme name="Piraeus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ic Document" ma:contentTypeID="0x010100D90557FF080F4CB4B7E7ECF37C5C350500CFD38391E1CE9548B24C172D1B160093" ma:contentTypeVersion="2" ma:contentTypeDescription="Word-based template used to create documents outside of the UBS style" ma:contentTypeScope="" ma:versionID="e81052836a1952ebbd8075947d4c2ed5">
  <xsd:schema xmlns:xsd="http://www.w3.org/2001/XMLSchema" xmlns:xs="http://www.w3.org/2001/XMLSchema" xmlns:p="http://schemas.microsoft.com/office/2006/metadata/properties" xmlns:ns3="22E6D72D-7E99-406E-A319-812DD5B66009" targetNamespace="http://schemas.microsoft.com/office/2006/metadata/properties" ma:root="true" ma:fieldsID="be3e6242a8074a81218cff976cedb577" ns3:_="">
    <xsd:import namespace="22E6D72D-7E99-406E-A319-812DD5B66009"/>
    <xsd:element name="properties">
      <xsd:complexType>
        <xsd:sequence>
          <xsd:element name="documentManagement">
            <xsd:complexType>
              <xsd:all>
                <xsd:element ref="ns3:PresentationIDs" minOccurs="0"/>
                <xsd:element ref="ns3:Products" minOccurs="0"/>
                <xsd:element ref="ns3:Sectors" minOccurs="0"/>
                <xsd:element ref="ns3:Region" minOccurs="0"/>
                <xsd:element ref="ns3:Country" minOccurs="0"/>
                <xsd:element ref="ns3:CompanyName" minOccurs="0"/>
                <xsd:element ref="ns3:ProjectName" minOccurs="0"/>
                <xsd:element ref="ns3:Abbreviation" minOccurs="0"/>
                <xsd:element ref="ns3:ProjectOpportunityId" minOccurs="0"/>
                <xsd:element ref="ns3:Company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6D72D-7E99-406E-A319-812DD5B66009" elementFormDefault="qualified">
    <xsd:import namespace="http://schemas.microsoft.com/office/2006/documentManagement/types"/>
    <xsd:import namespace="http://schemas.microsoft.com/office/infopath/2007/PartnerControls"/>
    <xsd:element name="PresentationIDs" ma:index="9" nillable="true" ma:displayName="Presentation IDs" ma:description="List of Presentation IDs, seperated by a ;" ma:internalName="PresentationIDs">
      <xsd:simpleType>
        <xsd:restriction base="dms:Text">
          <xsd:maxLength value="255"/>
        </xsd:restriction>
      </xsd:simpleType>
    </xsd:element>
    <xsd:element name="Products" ma:index="10" nillable="true" ma:displayName="Products" ma:description="Opp Products, seperated by a ;" ma:internalName="Products">
      <xsd:simpleType>
        <xsd:restriction base="dms:Text">
          <xsd:maxLength value="255"/>
        </xsd:restriction>
      </xsd:simpleType>
    </xsd:element>
    <xsd:element name="Sectors" ma:index="11" nillable="true" ma:displayName="Sectors" ma:description="Opp Sectors, seperated by a ;" ma:internalName="Sectors">
      <xsd:simpleType>
        <xsd:restriction base="dms:Text">
          <xsd:maxLength value="255"/>
        </xsd:restriction>
      </xsd:simpleType>
    </xsd:element>
    <xsd:element name="Region" ma:index="12" nillable="true" ma:displayName="Region" ma:description="List of Regions, seperated by a ;" ma:internalName="Region">
      <xsd:simpleType>
        <xsd:restriction base="dms:Text">
          <xsd:maxLength value="255"/>
        </xsd:restriction>
      </xsd:simpleType>
    </xsd:element>
    <xsd:element name="Country" ma:index="13" nillable="true" ma:displayName="Country" ma:description="List of Countries, seperated by a ;" ma:internalName="Country">
      <xsd:simpleType>
        <xsd:restriction base="dms:Text">
          <xsd:maxLength value="255"/>
        </xsd:restriction>
      </xsd:simpleType>
    </xsd:element>
    <xsd:element name="CompanyName" ma:index="14" nillable="true" ma:displayName="Company Name" ma:description="Opp Company Name" ma:internalName="CompanyName">
      <xsd:simpleType>
        <xsd:restriction base="dms:Text">
          <xsd:maxLength value="255"/>
        </xsd:restriction>
      </xsd:simpleType>
    </xsd:element>
    <xsd:element name="ProjectName" ma:index="15" nillable="true" ma:displayName="Project Name" ma:description="Opp Project Name" ma:internalName="ProjectName">
      <xsd:simpleType>
        <xsd:restriction base="dms:Text">
          <xsd:maxLength value="255"/>
        </xsd:restriction>
      </xsd:simpleType>
    </xsd:element>
    <xsd:element name="Abbreviation" ma:index="16" nillable="true" ma:displayName="Abbreviation" ma:description="Opp Abbreviation" ma:internalName="Abbreviation">
      <xsd:simpleType>
        <xsd:restriction base="dms:Text">
          <xsd:maxLength value="255"/>
        </xsd:restriction>
      </xsd:simpleType>
    </xsd:element>
    <xsd:element name="ProjectOpportunityId" ma:index="17" nillable="true" ma:displayName="Project Opportunity Id" ma:description="Opp Project Id" ma:internalName="ProjectOpportunityId">
      <xsd:simpleType>
        <xsd:restriction base="dms:Text">
          <xsd:maxLength value="255"/>
        </xsd:restriction>
      </xsd:simpleType>
    </xsd:element>
    <xsd:element name="CompanyId" ma:index="18" nillable="true" ma:displayName="Company Id" ma:description="Opp Company Id" ma:internalName="Company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22E6D72D-7E99-406E-A319-812DD5B66009" xsi:nil="true"/>
    <CompanyId xmlns="22E6D72D-7E99-406E-A319-812DD5B66009" xsi:nil="true"/>
    <ProjectName xmlns="22E6D72D-7E99-406E-A319-812DD5B66009" xsi:nil="true"/>
    <ProjectOpportunityId xmlns="22E6D72D-7E99-406E-A319-812DD5B66009" xsi:nil="true"/>
    <Products xmlns="22E6D72D-7E99-406E-A319-812DD5B66009" xsi:nil="true"/>
    <Region xmlns="22E6D72D-7E99-406E-A319-812DD5B66009" xsi:nil="true"/>
    <PresentationIDs xmlns="22E6D72D-7E99-406E-A319-812DD5B66009" xsi:nil="true"/>
    <Sectors xmlns="22E6D72D-7E99-406E-A319-812DD5B66009" xsi:nil="true"/>
    <CompanyName xmlns="22E6D72D-7E99-406E-A319-812DD5B66009" xsi:nil="true"/>
    <Abbreviation xmlns="22E6D72D-7E99-406E-A319-812DD5B6600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1AAB0-8DE1-4361-B3D8-091A784C8ECF}">
  <ds:schemaRefs>
    <ds:schemaRef ds:uri="http://schemas.microsoft.com/sharepoint/v3/contenttype/forms"/>
  </ds:schemaRefs>
</ds:datastoreItem>
</file>

<file path=customXml/itemProps2.xml><?xml version="1.0" encoding="utf-8"?>
<ds:datastoreItem xmlns:ds="http://schemas.openxmlformats.org/officeDocument/2006/customXml" ds:itemID="{0D76F29B-9B7C-4B1D-A153-EE5CD5FA0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6D72D-7E99-406E-A319-812DD5B66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F8FE3-3DC8-4C91-961F-E6DDA9F0019F}">
  <ds:schemaRefs>
    <ds:schemaRef ds:uri="http://schemas.microsoft.com/office/2006/metadata/properties"/>
    <ds:schemaRef ds:uri="http://schemas.microsoft.com/office/infopath/2007/PartnerControls"/>
    <ds:schemaRef ds:uri="22E6D72D-7E99-406E-A319-812DD5B66009"/>
  </ds:schemaRefs>
</ds:datastoreItem>
</file>

<file path=customXml/itemProps4.xml><?xml version="1.0" encoding="utf-8"?>
<ds:datastoreItem xmlns:ds="http://schemas.openxmlformats.org/officeDocument/2006/customXml" ds:itemID="{94C7E33E-BB9C-483F-AB8A-758B3F43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3508</Words>
  <Characters>18946</Characters>
  <Application>Microsoft Office Word</Application>
  <DocSecurity>0</DocSecurity>
  <PresentationFormat>57f6e05c-f7d1-4d52-9b5d-e0c529ddabdc</PresentationFormat>
  <Lines>157</Lines>
  <Paragraphs>44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Μπερμπάτη Χρυσάνθη</dc:creator>
  <cp:keywords/>
  <dc:description/>
  <cp:lastModifiedBy>Χαρχαρού Γεωργία</cp:lastModifiedBy>
  <cp:revision>4</cp:revision>
  <cp:lastPrinted>2021-08-04T13:44:00Z</cp:lastPrinted>
  <dcterms:created xsi:type="dcterms:W3CDTF">2021-08-04T13:51:00Z</dcterms:created>
  <dcterms:modified xsi:type="dcterms:W3CDTF">2021-08-04T14:43:00Z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2056465934</vt:i4>
  </property>
  <property fmtid="{D5CDD505-2E9C-101B-9397-08002B2CF9AE}" pid="3" name="ContentTypeId">
    <vt:lpwstr>0x010100D90557FF080F4CB4B7E7ECF37C5C350500CFD38391E1CE9548B24C172D1B160093</vt:lpwstr>
  </property>
  <property fmtid="{D5CDD505-2E9C-101B-9397-08002B2CF9AE}" pid="4" name="Signature">
    <vt:lpwstr>9rdenJ0U4qH20IHQtuJzPGFYiEMk5DSRtmQZttkEQoHfOqefG21oF4l6TVqHdugJY8TKsNsZcFEPwjdd+gZ2dQ==</vt:lpwstr>
  </property>
</Properties>
</file>