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The Employers' Group seminar</w:t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-1440179</wp:posOffset>
            </wp:positionV>
            <wp:extent cx="7743190" cy="9154577"/>
            <wp:effectExtent b="0" l="0" r="0" t="0"/>
            <wp:wrapNone/>
            <wp:docPr descr="layout_teczkaSTEMjasnyL" id="32" name="image5.png"/>
            <a:graphic>
              <a:graphicData uri="http://schemas.openxmlformats.org/drawingml/2006/picture">
                <pic:pic>
                  <pic:nvPicPr>
                    <pic:cNvPr descr="layout_teczkaSTEMjasnyL" id="0" name="image5.png"/>
                    <pic:cNvPicPr preferRelativeResize="0"/>
                  </pic:nvPicPr>
                  <pic:blipFill>
                    <a:blip r:embed="rId9"/>
                    <a:srcRect b="0" l="0" r="0" t="13621"/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9154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10362565</wp:posOffset>
            </wp:positionV>
            <wp:extent cx="7741920" cy="155575"/>
            <wp:effectExtent b="0" l="0" r="0" t="0"/>
            <wp:wrapNone/>
            <wp:docPr descr="layout_teczkaSTEMjasnyL" id="29" name="image2.png"/>
            <a:graphic>
              <a:graphicData uri="http://schemas.openxmlformats.org/drawingml/2006/picture">
                <pic:pic>
                  <pic:nvPicPr>
                    <pic:cNvPr descr="layout_teczkaSTEMjasnyL" id="0" name="image2.png"/>
                    <pic:cNvPicPr preferRelativeResize="0"/>
                  </pic:nvPicPr>
                  <pic:blipFill>
                    <a:blip r:embed="rId10"/>
                    <a:srcRect b="0" l="0" r="0" t="98347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55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10362565</wp:posOffset>
            </wp:positionV>
            <wp:extent cx="7741920" cy="155575"/>
            <wp:effectExtent b="0" l="0" r="0" t="0"/>
            <wp:wrapNone/>
            <wp:docPr descr="layout_teczkaSTEMjasnyL" id="30" name="image2.png"/>
            <a:graphic>
              <a:graphicData uri="http://schemas.openxmlformats.org/drawingml/2006/picture">
                <pic:pic>
                  <pic:nvPicPr>
                    <pic:cNvPr descr="layout_teczkaSTEMjasnyL" id="0" name="image2.png"/>
                    <pic:cNvPicPr preferRelativeResize="0"/>
                  </pic:nvPicPr>
                  <pic:blipFill>
                    <a:blip r:embed="rId10"/>
                    <a:srcRect b="0" l="0" r="0" t="98347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55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10833735</wp:posOffset>
            </wp:positionV>
            <wp:extent cx="7741920" cy="155575"/>
            <wp:effectExtent b="0" l="0" r="0" t="0"/>
            <wp:wrapNone/>
            <wp:docPr descr="layout_teczkaSTEMjasnyL" id="28" name="image2.png"/>
            <a:graphic>
              <a:graphicData uri="http://schemas.openxmlformats.org/drawingml/2006/picture">
                <pic:pic>
                  <pic:nvPicPr>
                    <pic:cNvPr descr="layout_teczkaSTEMjasnyL" id="0" name="image2.png"/>
                    <pic:cNvPicPr preferRelativeResize="0"/>
                  </pic:nvPicPr>
                  <pic:blipFill>
                    <a:blip r:embed="rId10"/>
                    <a:srcRect b="0" l="0" r="0" t="98347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155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1f497d"/>
          <w:sz w:val="36"/>
          <w:szCs w:val="36"/>
        </w:rPr>
      </w:pPr>
      <w:r w:rsidDel="00000000" w:rsidR="00000000" w:rsidRPr="00000000">
        <w:rPr>
          <w:b w:val="1"/>
          <w:color w:val="1f497d"/>
          <w:sz w:val="36"/>
          <w:szCs w:val="36"/>
          <w:rtl w:val="0"/>
        </w:rPr>
        <w:t xml:space="preserve">Placing European SMEs at a Horizontal Priority 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b w:val="1"/>
          <w:color w:val="1f497d"/>
          <w:sz w:val="36"/>
          <w:szCs w:val="36"/>
        </w:rPr>
      </w:pPr>
      <w:r w:rsidDel="00000000" w:rsidR="00000000" w:rsidRPr="00000000">
        <w:rPr>
          <w:b w:val="1"/>
          <w:color w:val="1f497d"/>
          <w:sz w:val="36"/>
          <w:szCs w:val="36"/>
          <w:rtl w:val="0"/>
        </w:rPr>
        <w:t xml:space="preserve">in the post-2020 Policy Making Process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24-25 October 2019,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Chania, Greece 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b w:val="1"/>
          <w:color w:val="1f497d"/>
          <w:sz w:val="32"/>
          <w:szCs w:val="32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Draft Programme</w:t>
      </w:r>
    </w:p>
    <w:p w:rsidR="00000000" w:rsidDel="00000000" w:rsidP="00000000" w:rsidRDefault="00000000" w:rsidRPr="00000000" w14:paraId="00000008">
      <w:pPr>
        <w:spacing w:after="360" w:line="240" w:lineRule="auto"/>
        <w:jc w:val="center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Interpreting: EN-FR-EL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color w:val="1f497d"/>
          <w:sz w:val="26"/>
          <w:szCs w:val="26"/>
          <w:rtl w:val="0"/>
        </w:rPr>
        <w:t xml:space="preserve">24 October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Borders>
          <w:top w:color="b9b4b0" w:space="0" w:sz="24" w:val="single"/>
          <w:left w:color="000000" w:space="0" w:sz="0" w:val="nil"/>
          <w:bottom w:color="b9b4b0" w:space="0" w:sz="24" w:val="single"/>
          <w:right w:color="000000" w:space="0" w:sz="0" w:val="nil"/>
          <w:insideH w:color="b9b4b0" w:space="0" w:sz="4" w:val="single"/>
          <w:insideV w:color="b9b4b0" w:space="0" w:sz="4" w:val="single"/>
        </w:tblBorders>
        <w:tblLayout w:type="fixed"/>
        <w:tblLook w:val="0400"/>
      </w:tblPr>
      <w:tblGrid>
        <w:gridCol w:w="1925"/>
        <w:gridCol w:w="7145"/>
        <w:tblGridChange w:id="0">
          <w:tblGrid>
            <w:gridCol w:w="1925"/>
            <w:gridCol w:w="7145"/>
          </w:tblGrid>
        </w:tblGridChange>
      </w:tblGrid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9:30 –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Registration and welcome coffee</w:t>
            </w:r>
          </w:p>
        </w:tc>
      </w:tr>
      <w:tr>
        <w:trPr>
          <w:trHeight w:val="156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10:00-10:20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Welcome remarks: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both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George Topolianakis,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of Chania’s Traders Association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both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George Karanikas,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of ESEE (The Hellenic Confederation of Commerce and Entrepreneurship)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bottom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10:20 – 10:50</w:t>
            </w:r>
          </w:p>
        </w:tc>
        <w:tc>
          <w:tcPr>
            <w:tcBorders>
              <w:bottom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Opening speeches: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both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Stavros Arnaoutakis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Governor of Crete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both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Ioannis Malandrakis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Mayor of Platanias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left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Emmanouel Giannoulis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Member of the Board of Directors SETE (Association of Greek Tourism Enterprises)</w:t>
            </w:r>
          </w:p>
        </w:tc>
      </w:tr>
      <w:tr>
        <w:trPr>
          <w:trHeight w:val="1320" w:hRule="atLeast"/>
        </w:trPr>
        <w:tc>
          <w:tcPr>
            <w:tcBorders>
              <w:bottom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10:50-11:00</w:t>
            </w:r>
          </w:p>
        </w:tc>
        <w:tc>
          <w:tcPr>
            <w:tcBorders>
              <w:bottom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Keynote speech by: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283" w:right="0" w:hanging="283"/>
              <w:jc w:val="both"/>
              <w:rPr>
                <w:smallCaps w:val="0"/>
                <w:strike w:val="0"/>
                <w:color w:val="1f497d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Jacek Krawczyk,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of the Employers' Group</w:t>
            </w:r>
          </w:p>
        </w:tc>
      </w:tr>
      <w:tr>
        <w:trPr>
          <w:trHeight w:val="3200" w:hRule="atLeast"/>
        </w:trPr>
        <w:tc>
          <w:tcPr>
            <w:tcBorders>
              <w:top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11:00-11:40</w:t>
            </w:r>
          </w:p>
        </w:tc>
        <w:tc>
          <w:tcPr>
            <w:tcBorders>
              <w:top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Panel 1 –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urban regeneration: best practices for vital European city centres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Presentation of study "The future of retail in city centres", commissioned by the Employers' Group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color w:val="1f497d"/>
                <w:u w:val="single"/>
              </w:rPr>
            </w:pPr>
            <w:r w:rsidDel="00000000" w:rsidR="00000000" w:rsidRPr="00000000">
              <w:rPr>
                <w:color w:val="1f497d"/>
                <w:u w:val="single"/>
                <w:rtl w:val="0"/>
              </w:rPr>
              <w:t xml:space="preserve">Speakers: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Valia Aranitou,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of INEMY – ESEE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András Edelényi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Hungarian Chamber of Commerce and Industry, EESC Member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(tbc)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Q&amp;A</w:t>
            </w:r>
          </w:p>
        </w:tc>
      </w:tr>
      <w:tr>
        <w:trPr>
          <w:trHeight w:val="1920" w:hRule="atLeast"/>
        </w:trPr>
        <w:tc>
          <w:tcPr>
            <w:tcBorders>
              <w:top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11:40-12:20</w:t>
            </w:r>
          </w:p>
        </w:tc>
        <w:tc>
          <w:tcPr>
            <w:tcBorders>
              <w:top w:color="b9b4b0" w:space="0" w:sz="2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Panel 2 - Digital Opportunities and Threats for SMEs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Ariane Rodert,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 Section President, EESC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Dimitris Milonakis,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Dean of the Faculty of Social Sciences, University of Crete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Q&amp;A</w:t>
            </w:r>
          </w:p>
        </w:tc>
      </w:tr>
      <w:tr>
        <w:trPr>
          <w:trHeight w:val="41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12:20-13:00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  <w:color w:val="1f497d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Panel 3 - Access to Finance for SMEs 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Presentation of the study :"How the state aid rules affect access to finance for SMEs and enterprises", commissioned by the Employers' Group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color w:val="1f497d"/>
                <w:u w:val="single"/>
              </w:rPr>
            </w:pPr>
            <w:r w:rsidDel="00000000" w:rsidR="00000000" w:rsidRPr="00000000">
              <w:rPr>
                <w:color w:val="1f497d"/>
                <w:u w:val="single"/>
                <w:rtl w:val="0"/>
              </w:rPr>
              <w:t xml:space="preserve">Speakers: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Milena Angelova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Vice-President of the European Economic and Social Committee, Secretary-general of the Bulgarian Industrial Capital Association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Denitsa Berkhoff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Head of Group Risk Unit, European Investment Fund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 Constantinos Zopounidis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University of Crete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Q&amp;A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13:00-14:30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Networking lunch</w:t>
            </w:r>
          </w:p>
        </w:tc>
      </w:tr>
      <w:tr>
        <w:trPr>
          <w:trHeight w:val="22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sz w:val="26"/>
                <w:szCs w:val="26"/>
                <w:rtl w:val="0"/>
              </w:rPr>
              <w:t xml:space="preserve">Panel 4 - SMEs and Single Market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Moderator Violeta Jelić, EESC, Vice president of the Employers’ Group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color w:val="1f497d"/>
              </w:rPr>
            </w:pPr>
            <w:r w:rsidDel="00000000" w:rsidR="00000000" w:rsidRPr="00000000">
              <w:rPr>
                <w:color w:val="1f497d"/>
                <w:u w:val="single"/>
                <w:rtl w:val="0"/>
              </w:rPr>
              <w:t xml:space="preserve">Speakers</w:t>
            </w:r>
            <w:r w:rsidDel="00000000" w:rsidR="00000000" w:rsidRPr="00000000">
              <w:rPr>
                <w:color w:val="1f497d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Pietro de Lotto – SME Category Spoke Person; EESC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Janusz Pietkiewicz, Member of the Employers' Group, Employers of Poland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-900429</wp:posOffset>
            </wp:positionH>
            <wp:positionV relativeFrom="paragraph">
              <wp:posOffset>0</wp:posOffset>
            </wp:positionV>
            <wp:extent cx="7743190" cy="9154577"/>
            <wp:effectExtent b="0" l="0" r="0" t="0"/>
            <wp:wrapNone/>
            <wp:docPr descr="layout_teczkaSTEMjasnyL" id="31" name="image5.png"/>
            <a:graphic>
              <a:graphicData uri="http://schemas.openxmlformats.org/drawingml/2006/picture">
                <pic:pic>
                  <pic:nvPicPr>
                    <pic:cNvPr descr="layout_teczkaSTEMjasnyL" id="0" name="image5.png"/>
                    <pic:cNvPicPr preferRelativeResize="0"/>
                  </pic:nvPicPr>
                  <pic:blipFill>
                    <a:blip r:embed="rId9"/>
                    <a:srcRect b="0" l="0" r="0" t="13621"/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9154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pgSz w:h="16838" w:w="11906"/>
      <w:pgMar w:bottom="567" w:top="2268" w:left="1418" w:right="1418" w:header="19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4337" style="position:absolute;left:0;text-align:left;margin-left:197.45pt;margin-top:-87.05pt;width:56.7pt;height:56.7pt;z-index:251659264;mso-position-horizontal-relative:margin;mso-position-vertical-relative:text;mso-position-horizontal:absolute;mso-position-vertical:absolute;" type="#_x0000_t75">
          <v:imagedata r:id="rId2" o:title="LOGO TRADE ASSOCIATION"/>
          <w10:wrap/>
        </v:shape>
      </w:pict>
    </w:r>
    <w:r w:rsidDel="00000000" w:rsidR="00000000" w:rsidRPr="00000000">
      <w:pict>
        <v:shape id="_x0000_s14338" style="position:absolute;left:0;text-align:left;margin-left:-8.0pt;margin-top:-71.85pt;width:134.6pt;height:56.35pt;z-index:251661312;mso-position-horizontal-relative:margin;mso-position-vertical-relative:text;mso-width-relative:page;mso-height-relative:page;mso-position-horizontal:absolute;mso-position-vertical:absolute;" type="#_x0000_t75">
          <v:imagedata r:id="rId1" o:title="EESC-employers-gr-pos"/>
        </v:shape>
      </w:pict>
    </w:r>
    <w:r w:rsidDel="00000000" w:rsidR="00000000" w:rsidRPr="00000000">
      <w:pict>
        <v:shape id="_x0000_s14339" style="position:absolute;left:0;text-align:left;margin-left:309.95pt;margin-top:-87.05pt;width:142.9pt;height:50.95pt;z-index:251663360;mso-position-horizontal-relative:margin;mso-position-vertical-relative:text;mso-position-horizontal:absolute;mso-position-vertical:absolute;" type="#_x0000_t75">
          <v:imagedata r:id="rId3" o:title="AGGL-logo-esee-01"/>
          <w10:wrap type="square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83" w:hanging="283"/>
      </w:pPr>
      <w:rPr>
        <w:rFonts w:ascii="Noto Sans Symbols" w:cs="Noto Sans Symbols" w:eastAsia="Noto Sans Symbols" w:hAnsi="Noto Sans Symbols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BC365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31E2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0487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9692B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031E2B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238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C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CBC"/>
    <w:rPr>
      <w:rFonts w:ascii="Tahoma" w:cs="Tahoma" w:hAnsi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7C1100"/>
    <w:rPr>
      <w:color w:val="0000ff"/>
      <w:u w:val="single"/>
    </w:rPr>
  </w:style>
  <w:style w:type="character" w:styleId="InternetLink" w:customStyle="1">
    <w:name w:val="Internet Link"/>
    <w:basedOn w:val="DefaultParagraphFont"/>
    <w:rsid w:val="00B6333A"/>
    <w:rPr>
      <w:color w:val="0000ff"/>
      <w:u w:val="single"/>
    </w:rPr>
  </w:style>
  <w:style w:type="paragraph" w:styleId="TextBody" w:customStyle="1">
    <w:name w:val="Text Body"/>
    <w:basedOn w:val="Normal"/>
    <w:rsid w:val="00B6333A"/>
    <w:pPr>
      <w:suppressAutoHyphens w:val="1"/>
      <w:spacing w:after="120"/>
    </w:pPr>
    <w:rPr>
      <w:color w:val="00000a"/>
    </w:rPr>
  </w:style>
  <w:style w:type="paragraph" w:styleId="ListParagraph">
    <w:name w:val="List Paragraph"/>
    <w:basedOn w:val="Normal"/>
    <w:uiPriority w:val="72"/>
    <w:qFormat w:val="1"/>
    <w:rsid w:val="00B6333A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635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3E9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3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30F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30F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30F2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30F2A"/>
    <w:rPr>
      <w:b w:val="1"/>
      <w:bCs w:val="1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0487C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BC365D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031E2B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031E2B"/>
    <w:rPr>
      <w:rFonts w:asciiTheme="majorHAnsi" w:cstheme="majorBidi" w:eastAsiaTheme="majorEastAsia" w:hAnsiTheme="majorHAnsi"/>
      <w:color w:val="365f91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2389B"/>
    <w:rPr>
      <w:rFonts w:asciiTheme="majorHAnsi" w:cstheme="majorBidi" w:eastAsiaTheme="majorEastAsia" w:hAnsiTheme="majorHAnsi"/>
      <w:color w:val="243f60" w:themeColor="accent1" w:themeShade="00007F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BD3064"/>
    <w:pPr>
      <w:spacing w:after="0" w:line="288" w:lineRule="auto"/>
      <w:jc w:val="both"/>
    </w:pPr>
    <w:rPr>
      <w:rFonts w:ascii="Times New Roman" w:hAnsi="Times New Roman"/>
    </w:rPr>
  </w:style>
  <w:style w:type="character" w:styleId="HeaderChar" w:customStyle="1">
    <w:name w:val="Header Char"/>
    <w:basedOn w:val="DefaultParagraphFont"/>
    <w:link w:val="Header"/>
    <w:uiPriority w:val="99"/>
    <w:rsid w:val="00BD3064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BD3064"/>
    <w:pPr>
      <w:spacing w:after="0" w:line="288" w:lineRule="auto"/>
      <w:jc w:val="both"/>
    </w:pPr>
    <w:rPr>
      <w:rFonts w:ascii="Times New Roman" w:hAnsi="Times New Roman"/>
    </w:rPr>
  </w:style>
  <w:style w:type="character" w:styleId="FooterChar" w:customStyle="1">
    <w:name w:val="Footer Char"/>
    <w:basedOn w:val="DefaultParagraphFont"/>
    <w:link w:val="Footer"/>
    <w:uiPriority w:val="99"/>
    <w:rsid w:val="00BD3064"/>
    <w:rPr>
      <w:rFonts w:ascii="Times New Roman" w:hAnsi="Times New Roman"/>
      <w:sz w:val="22"/>
      <w:szCs w:val="22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9692B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2019-10-15T14:34:00Z</dcterms:created>
  <dc:creator>Valerie Paesmans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24/09/2019, 24/09/2019</vt:lpwstr>
  </property>
  <property fmtid="{D5CDD505-2E9C-101B-9397-08002B2CF9AE}" pid="4" name="Pref_Time">
    <vt:lpwstr>12:06:27, 11:45:47</vt:lpwstr>
  </property>
  <property fmtid="{D5CDD505-2E9C-101B-9397-08002B2CF9AE}" pid="5" name="Pref_User">
    <vt:lpwstr>amett, htoo</vt:lpwstr>
  </property>
  <property fmtid="{D5CDD505-2E9C-101B-9397-08002B2CF9AE}" pid="6" name="Pref_FileName">
    <vt:lpwstr>EESC-2019-04205-00-00-CONVPOJ-TRA-EN-CRR.docx, EESC-2019-04205-00-00-CONVPOJ-CRR-EN.docx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4de14157-0e61-4d00-8d87-730880215518</vt:lpwstr>
  </property>
  <property fmtid="{D5CDD505-2E9C-101B-9397-08002B2CF9AE}" pid="9" name="AvailableTranslations">
    <vt:lpwstr>4;#EN|f2175f21-25d7-44a3-96da-d6a61b075e1b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4205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Secrétariat Groupe I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7;#Final|ea5e6674-7b27-4bac-b091-73adbb394efe;#5;#Unrestricted|826e22d7-d029-4ec0-a450-0c28ff673572;#4;#EN|f2175f21-25d7-44a3-96da-d6a61b075e1b;#2;#TRA|150d2a88-1431-44e6-a8ca-0bb753ab8672;#1;#EESC|422833ec-8d7e-4e65-8e4e-8bed07ffb729;#19;#CONVPOJ|4be1222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9273</vt:i4>
  </property>
  <property fmtid="{D5CDD505-2E9C-101B-9397-08002B2CF9AE}" pid="35" name="DocumentLanguage">
    <vt:lpwstr>4;#EN|f2175f21-25d7-44a3-96da-d6a61b075e1b</vt:lpwstr>
  </property>
  <property fmtid="{D5CDD505-2E9C-101B-9397-08002B2CF9AE}" pid="36" name="_docset_NoMedatataSyncRequired">
    <vt:lpwstr>False</vt:lpwstr>
  </property>
</Properties>
</file>