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13" w:rsidRDefault="00F40113" w:rsidP="00F40113">
      <w:pPr>
        <w:jc w:val="center"/>
        <w:rPr>
          <w:b/>
          <w:lang w:val="el-GR"/>
        </w:rPr>
      </w:pPr>
      <w:r>
        <w:rPr>
          <w:noProof/>
          <w:lang w:val="el-GR" w:eastAsia="el-GR"/>
        </w:rPr>
        <w:drawing>
          <wp:anchor distT="0" distB="0" distL="114300" distR="114300" simplePos="0" relativeHeight="251658240" behindDoc="1" locked="0" layoutInCell="1" allowOverlap="1">
            <wp:simplePos x="0" y="0"/>
            <wp:positionH relativeFrom="column">
              <wp:posOffset>3063875</wp:posOffset>
            </wp:positionH>
            <wp:positionV relativeFrom="paragraph">
              <wp:posOffset>-434975</wp:posOffset>
            </wp:positionV>
            <wp:extent cx="2845435" cy="1299845"/>
            <wp:effectExtent l="0" t="0" r="0" b="0"/>
            <wp:wrapTight wrapText="bothSides">
              <wp:wrapPolygon edited="0">
                <wp:start x="0" y="0"/>
                <wp:lineTo x="0" y="21210"/>
                <wp:lineTo x="21402" y="21210"/>
                <wp:lineTo x="21402" y="0"/>
                <wp:lineTo x="0" y="0"/>
              </wp:wrapPolygon>
            </wp:wrapTight>
            <wp:docPr id="1" name="Εικόνα 1" descr="ÎÏÎ¿ÏÎ­Î»ÎµÏÎ¼Î± ÎµÎ¹ÎºÏÎ½Î±Ï Î³Î¹Î± Î¼ÎµÏÎ±Î»ÏÎºÎµÎ¹Î±ÎºÏ Î­ÏÎ¿Ï-ÏÎ¬Î¾Î· Î¼Î±Î¸Î·ÏÎµÎ¯Î±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ÎÏÎ¿ÏÎ­Î»ÎµÏÎ¼Î± ÎµÎ¹ÎºÏÎ½Î±Ï Î³Î¹Î± Î¼ÎµÏÎ±Î»ÏÎºÎµÎ¹Î±ÎºÏ Î­ÏÎ¿Ï-ÏÎ¬Î¾Î· Î¼Î±Î¸Î·ÏÎµÎ¯Î±Ï"/>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45435" cy="1299845"/>
                    </a:xfrm>
                    <a:prstGeom prst="rect">
                      <a:avLst/>
                    </a:prstGeom>
                    <a:noFill/>
                    <a:ln>
                      <a:noFill/>
                    </a:ln>
                  </pic:spPr>
                </pic:pic>
              </a:graphicData>
            </a:graphic>
          </wp:anchor>
        </w:drawing>
      </w:r>
    </w:p>
    <w:p w:rsidR="00C30AE6" w:rsidRDefault="00C30AE6" w:rsidP="00F40113">
      <w:pPr>
        <w:jc w:val="right"/>
        <w:rPr>
          <w:b/>
          <w:lang w:val="el-GR"/>
        </w:rPr>
      </w:pPr>
    </w:p>
    <w:p w:rsidR="00C30AE6" w:rsidRDefault="00C30AE6" w:rsidP="00F40113">
      <w:pPr>
        <w:jc w:val="right"/>
        <w:rPr>
          <w:b/>
          <w:lang w:val="el-GR"/>
        </w:rPr>
      </w:pPr>
    </w:p>
    <w:p w:rsidR="00C05192" w:rsidRDefault="00C05192" w:rsidP="00F40113">
      <w:pPr>
        <w:jc w:val="right"/>
        <w:rPr>
          <w:lang w:val="el-GR"/>
        </w:rPr>
      </w:pPr>
      <w:r w:rsidRPr="002A6E3A">
        <w:rPr>
          <w:b/>
          <w:lang w:val="el-GR"/>
        </w:rPr>
        <w:t>Σποτ Μαθητείας:</w:t>
      </w:r>
      <w:hyperlink r:id="rId8" w:tgtFrame="_blank" w:history="1">
        <w:r w:rsidRPr="002A6E3A">
          <w:rPr>
            <w:lang w:val="el-GR"/>
          </w:rPr>
          <w:t>https://youtu.be/04LS8RZclD0</w:t>
        </w:r>
      </w:hyperlink>
    </w:p>
    <w:p w:rsidR="00C30AE6" w:rsidRDefault="00C30AE6" w:rsidP="00F40113">
      <w:pPr>
        <w:spacing w:after="0"/>
        <w:jc w:val="center"/>
        <w:rPr>
          <w:b/>
          <w:color w:val="365F91" w:themeColor="accent1" w:themeShade="BF"/>
          <w:sz w:val="28"/>
          <w:lang w:val="el-GR"/>
        </w:rPr>
      </w:pPr>
    </w:p>
    <w:p w:rsidR="00F40113" w:rsidRPr="00C30AE6" w:rsidRDefault="00F40113" w:rsidP="00F40113">
      <w:pPr>
        <w:spacing w:after="0"/>
        <w:jc w:val="center"/>
        <w:rPr>
          <w:b/>
          <w:color w:val="365F91" w:themeColor="accent1" w:themeShade="BF"/>
          <w:sz w:val="28"/>
          <w:lang w:val="el-GR"/>
        </w:rPr>
      </w:pPr>
      <w:r w:rsidRPr="00C30AE6">
        <w:rPr>
          <w:b/>
          <w:color w:val="365F91" w:themeColor="accent1" w:themeShade="BF"/>
          <w:sz w:val="28"/>
          <w:lang w:val="el-GR"/>
        </w:rPr>
        <w:t>ΜΕΤΑΛΥΚΕΙΑΚΟ ΕΤΟΣ – ΤΑΞΗ ΜΑΘΗΤΕΙΑΣ</w:t>
      </w:r>
      <w:r w:rsidR="00C30AE6">
        <w:rPr>
          <w:b/>
          <w:color w:val="365F91" w:themeColor="accent1" w:themeShade="BF"/>
          <w:sz w:val="28"/>
          <w:lang w:val="el-GR"/>
        </w:rPr>
        <w:t xml:space="preserve"> ΤΩΝ ΕΠΑΛ</w:t>
      </w:r>
    </w:p>
    <w:p w:rsidR="00174FA0" w:rsidRDefault="00174FA0" w:rsidP="00174FA0">
      <w:pPr>
        <w:rPr>
          <w:b/>
          <w:lang w:val="el-GR"/>
        </w:rPr>
      </w:pPr>
    </w:p>
    <w:p w:rsidR="00174FA0" w:rsidRPr="00C05192" w:rsidRDefault="00174FA0" w:rsidP="00C05192">
      <w:pPr>
        <w:pStyle w:val="a3"/>
        <w:numPr>
          <w:ilvl w:val="0"/>
          <w:numId w:val="7"/>
        </w:numPr>
        <w:ind w:left="-284"/>
        <w:rPr>
          <w:b/>
          <w:lang w:val="el-GR"/>
        </w:rPr>
      </w:pPr>
      <w:r w:rsidRPr="00C05192">
        <w:rPr>
          <w:b/>
          <w:lang w:val="el-GR"/>
        </w:rPr>
        <w:t>Τι ορίζεται ως μαθητεία</w:t>
      </w:r>
      <w:r w:rsidR="00334C8B">
        <w:rPr>
          <w:b/>
          <w:lang w:val="el-GR"/>
        </w:rPr>
        <w:t>;</w:t>
      </w:r>
    </w:p>
    <w:p w:rsidR="00174FA0" w:rsidRPr="00F01EA0" w:rsidRDefault="00174FA0" w:rsidP="00174FA0">
      <w:pPr>
        <w:jc w:val="both"/>
        <w:rPr>
          <w:lang w:val="el-GR"/>
        </w:rPr>
      </w:pPr>
      <w:r w:rsidRPr="00F01EA0">
        <w:rPr>
          <w:lang w:val="el-GR"/>
        </w:rPr>
        <w:t xml:space="preserve">Είναι ένα σχήμα Μάθησης Βασισμένης στην Εργασία (WorkBasedLearning – WBL) που το βασικό του χαρακτηριστικό είναι ότι περιλαμβάνει συστηματικές, μακροχρόνιες περιόδους </w:t>
      </w:r>
      <w:r w:rsidRPr="000A0410">
        <w:rPr>
          <w:b/>
          <w:lang w:val="el-GR"/>
        </w:rPr>
        <w:t>εναλλαγής</w:t>
      </w:r>
      <w:r w:rsidRPr="00F01EA0">
        <w:rPr>
          <w:lang w:val="el-GR"/>
        </w:rPr>
        <w:t xml:space="preserve"> μάθησης/εκπαίδευσης στο </w:t>
      </w:r>
      <w:r w:rsidRPr="009402AE">
        <w:rPr>
          <w:lang w:val="el-GR"/>
        </w:rPr>
        <w:t>χώρο εργασίας</w:t>
      </w:r>
      <w:r w:rsidRPr="00F01EA0">
        <w:rPr>
          <w:lang w:val="el-GR"/>
        </w:rPr>
        <w:t xml:space="preserve"> (</w:t>
      </w:r>
      <w:r w:rsidRPr="009402AE">
        <w:rPr>
          <w:b/>
          <w:lang w:val="el-GR"/>
        </w:rPr>
        <w:t>Εργασιακός Χώρος</w:t>
      </w:r>
      <w:r w:rsidRPr="00F01EA0">
        <w:rPr>
          <w:lang w:val="el-GR"/>
        </w:rPr>
        <w:t>) και σε έναν οργανισμό εκπαίδευσης/κατάρτισης (</w:t>
      </w:r>
      <w:r w:rsidRPr="009402AE">
        <w:rPr>
          <w:b/>
          <w:lang w:val="el-GR"/>
        </w:rPr>
        <w:t>Σχολείο</w:t>
      </w:r>
      <w:r w:rsidRPr="00F01EA0">
        <w:rPr>
          <w:lang w:val="el-GR"/>
        </w:rPr>
        <w:t xml:space="preserve">). Ο χρόνος που αφιερώνεται από το μαθητευόμενο στο χώρο εργασίας είναι κατά πολύ μεγαλύτερος από αυτόν κατά τον οποίο βρίσκεται στον εκπαιδευτικό οργανισμό. Επιπλέον: </w:t>
      </w:r>
    </w:p>
    <w:p w:rsidR="00174FA0" w:rsidRPr="00F01EA0" w:rsidRDefault="00174FA0" w:rsidP="00174FA0">
      <w:pPr>
        <w:pStyle w:val="a3"/>
        <w:numPr>
          <w:ilvl w:val="1"/>
          <w:numId w:val="1"/>
        </w:numPr>
        <w:jc w:val="both"/>
        <w:rPr>
          <w:lang w:val="el-GR"/>
        </w:rPr>
      </w:pPr>
      <w:r w:rsidRPr="00F01EA0">
        <w:rPr>
          <w:lang w:val="el-GR"/>
        </w:rPr>
        <w:t>Ο μαθητευόμενος συνδέεται με τον εργοδότη μέσω κάποιας σύμβασης και λαμβάνει αποζημίωση (</w:t>
      </w:r>
      <w:r w:rsidRPr="009402AE">
        <w:rPr>
          <w:b/>
          <w:lang w:val="el-GR"/>
        </w:rPr>
        <w:t>μισθό</w:t>
      </w:r>
      <w:r w:rsidRPr="00F01EA0">
        <w:rPr>
          <w:lang w:val="el-GR"/>
        </w:rPr>
        <w:t xml:space="preserve">). </w:t>
      </w:r>
    </w:p>
    <w:p w:rsidR="00174FA0" w:rsidRPr="00F01EA0" w:rsidRDefault="00174FA0" w:rsidP="00174FA0">
      <w:pPr>
        <w:pStyle w:val="a3"/>
        <w:numPr>
          <w:ilvl w:val="1"/>
          <w:numId w:val="1"/>
        </w:numPr>
        <w:jc w:val="both"/>
        <w:rPr>
          <w:lang w:val="el-GR"/>
        </w:rPr>
      </w:pPr>
      <w:r w:rsidRPr="00F01EA0">
        <w:rPr>
          <w:lang w:val="el-GR"/>
        </w:rPr>
        <w:t xml:space="preserve">Ο </w:t>
      </w:r>
      <w:r w:rsidRPr="009402AE">
        <w:rPr>
          <w:b/>
          <w:lang w:val="el-GR"/>
        </w:rPr>
        <w:t>εργοδότης</w:t>
      </w:r>
      <w:r w:rsidRPr="00F01EA0">
        <w:rPr>
          <w:lang w:val="el-GR"/>
        </w:rPr>
        <w:t xml:space="preserve"> αναλαμβάνει την ευθύνη για το μέρος του προγράμματος </w:t>
      </w:r>
      <w:r w:rsidRPr="009402AE">
        <w:rPr>
          <w:b/>
          <w:lang w:val="el-GR"/>
        </w:rPr>
        <w:t>εκπαίδευσης/κατάρτισης</w:t>
      </w:r>
      <w:r w:rsidRPr="00F01EA0">
        <w:rPr>
          <w:lang w:val="el-GR"/>
        </w:rPr>
        <w:t xml:space="preserve"> που πραγματοποιείται στο χώρο εργασίας και </w:t>
      </w:r>
    </w:p>
    <w:p w:rsidR="00174FA0" w:rsidRPr="00E73F3E" w:rsidRDefault="00174FA0" w:rsidP="00174FA0">
      <w:pPr>
        <w:pStyle w:val="a3"/>
        <w:numPr>
          <w:ilvl w:val="1"/>
          <w:numId w:val="1"/>
        </w:numPr>
        <w:jc w:val="both"/>
        <w:rPr>
          <w:lang w:val="el-GR"/>
        </w:rPr>
      </w:pPr>
      <w:r w:rsidRPr="00F01EA0">
        <w:rPr>
          <w:lang w:val="el-GR"/>
        </w:rPr>
        <w:t>οδηγεί στην απόκτηση αναγνωρισμ</w:t>
      </w:r>
      <w:r>
        <w:rPr>
          <w:lang w:val="el-GR"/>
        </w:rPr>
        <w:t>ένων προσόντων (</w:t>
      </w:r>
      <w:r w:rsidRPr="009402AE">
        <w:rPr>
          <w:b/>
          <w:lang w:val="el-GR"/>
        </w:rPr>
        <w:t>qualifications</w:t>
      </w:r>
      <w:r>
        <w:rPr>
          <w:lang w:val="el-GR"/>
        </w:rPr>
        <w:t>)</w:t>
      </w:r>
    </w:p>
    <w:p w:rsidR="00174FA0" w:rsidRPr="00E73F3E" w:rsidRDefault="00174FA0" w:rsidP="00174FA0">
      <w:pPr>
        <w:jc w:val="both"/>
        <w:rPr>
          <w:i/>
          <w:sz w:val="20"/>
          <w:szCs w:val="20"/>
          <w:lang w:val="en-GB"/>
        </w:rPr>
      </w:pPr>
      <w:r w:rsidRPr="00E73F3E">
        <w:rPr>
          <w:rFonts w:ascii="Arial" w:hAnsi="Arial" w:cs="Arial"/>
          <w:i/>
          <w:color w:val="4A4A4A"/>
          <w:sz w:val="20"/>
          <w:szCs w:val="20"/>
          <w:lang w:val="en-GB"/>
        </w:rPr>
        <w:t>European Commission (2013). Work-based learning in Europe: practices and policy pointers, European Union</w:t>
      </w:r>
    </w:p>
    <w:p w:rsidR="00174FA0" w:rsidRPr="00E73F3E" w:rsidRDefault="00174FA0" w:rsidP="00C05192">
      <w:pPr>
        <w:pStyle w:val="a3"/>
        <w:numPr>
          <w:ilvl w:val="0"/>
          <w:numId w:val="7"/>
        </w:numPr>
        <w:ind w:left="-284"/>
        <w:rPr>
          <w:b/>
          <w:lang w:val="el-GR"/>
        </w:rPr>
      </w:pPr>
      <w:r>
        <w:rPr>
          <w:b/>
          <w:lang w:val="el-GR"/>
        </w:rPr>
        <w:t>Ποιος μπορεί να πάρει μέρος στο πρόγραμμα</w:t>
      </w:r>
      <w:r w:rsidR="00C05192">
        <w:rPr>
          <w:b/>
          <w:lang w:val="el-GR"/>
        </w:rPr>
        <w:t xml:space="preserve"> «Μεταλυκειακό Έτος – Τάξη Μαθητείας των ΕΠΑΛ»</w:t>
      </w:r>
      <w:r w:rsidR="00334C8B">
        <w:rPr>
          <w:b/>
          <w:lang w:val="el-GR"/>
        </w:rPr>
        <w:t>;</w:t>
      </w:r>
    </w:p>
    <w:p w:rsidR="00174FA0" w:rsidRDefault="00174FA0" w:rsidP="00174FA0">
      <w:pPr>
        <w:jc w:val="both"/>
        <w:rPr>
          <w:lang w:val="el-GR"/>
        </w:rPr>
      </w:pPr>
      <w:r>
        <w:rPr>
          <w:lang w:val="el-GR"/>
        </w:rPr>
        <w:t xml:space="preserve">Για να μπορέσει να πάρει κάποιος μέρος στο πρόγραμμα μαθητείας των ΕΠΑΛ πρέπει να πληροί τρεις προϋποθέσεις. Να είναι: </w:t>
      </w:r>
    </w:p>
    <w:p w:rsidR="00174FA0" w:rsidRPr="000A0410" w:rsidRDefault="00174FA0" w:rsidP="00174FA0">
      <w:pPr>
        <w:pStyle w:val="a3"/>
        <w:numPr>
          <w:ilvl w:val="0"/>
          <w:numId w:val="2"/>
        </w:numPr>
        <w:jc w:val="both"/>
        <w:rPr>
          <w:lang w:val="el-GR"/>
        </w:rPr>
      </w:pPr>
      <w:r w:rsidRPr="000A0410">
        <w:rPr>
          <w:lang w:val="el-GR"/>
        </w:rPr>
        <w:t xml:space="preserve">Κάτοχος </w:t>
      </w:r>
      <w:r w:rsidRPr="00846898">
        <w:rPr>
          <w:b/>
          <w:lang w:val="el-GR"/>
        </w:rPr>
        <w:t>Α</w:t>
      </w:r>
      <w:r w:rsidRPr="000A0410">
        <w:rPr>
          <w:b/>
          <w:lang w:val="el-GR"/>
        </w:rPr>
        <w:t>πολυτηρίουΛυκείου</w:t>
      </w:r>
      <w:r w:rsidRPr="000A0410">
        <w:rPr>
          <w:lang w:val="el-GR"/>
        </w:rPr>
        <w:t xml:space="preserve"> (ΕΠΑΛ (Επαγγελματικού Λυκείου ) ή ΓΕΛ (Γενικού Λυκείου))</w:t>
      </w:r>
    </w:p>
    <w:p w:rsidR="00174FA0" w:rsidRDefault="00174FA0" w:rsidP="00174FA0">
      <w:pPr>
        <w:pStyle w:val="a3"/>
        <w:numPr>
          <w:ilvl w:val="0"/>
          <w:numId w:val="2"/>
        </w:numPr>
        <w:jc w:val="both"/>
        <w:rPr>
          <w:lang w:val="el-GR"/>
        </w:rPr>
      </w:pPr>
      <w:r w:rsidRPr="000A0410">
        <w:rPr>
          <w:lang w:val="el-GR"/>
        </w:rPr>
        <w:t xml:space="preserve">Κάτοχος </w:t>
      </w:r>
      <w:r w:rsidRPr="000A0410">
        <w:rPr>
          <w:b/>
          <w:lang w:val="el-GR"/>
        </w:rPr>
        <w:t>Πτυχίου</w:t>
      </w:r>
      <w:r w:rsidRPr="000A0410">
        <w:rPr>
          <w:lang w:val="el-GR"/>
        </w:rPr>
        <w:t>ΕΠΑΛ (ή πτυχίου παλαιότερου τύπου Τεχνικού Λυκείου)</w:t>
      </w:r>
    </w:p>
    <w:p w:rsidR="00174FA0" w:rsidRDefault="00174FA0" w:rsidP="00174FA0">
      <w:pPr>
        <w:pStyle w:val="a3"/>
        <w:numPr>
          <w:ilvl w:val="0"/>
          <w:numId w:val="2"/>
        </w:numPr>
        <w:jc w:val="both"/>
        <w:rPr>
          <w:lang w:val="el-GR"/>
        </w:rPr>
      </w:pPr>
      <w:r w:rsidRPr="000A0410">
        <w:rPr>
          <w:b/>
          <w:lang w:val="el-GR"/>
        </w:rPr>
        <w:t>Άνεργος</w:t>
      </w:r>
      <w:r>
        <w:rPr>
          <w:lang w:val="el-GR"/>
        </w:rPr>
        <w:t xml:space="preserve"> (πρέπει να είναι εκτός εκπαίδευσης, κατάρτισης και απασχόλησης)</w:t>
      </w:r>
    </w:p>
    <w:p w:rsidR="00174FA0" w:rsidRDefault="00174FA0" w:rsidP="00174FA0">
      <w:pPr>
        <w:jc w:val="both"/>
        <w:rPr>
          <w:lang w:val="el-GR"/>
        </w:rPr>
      </w:pPr>
      <w:r w:rsidRPr="000A0410">
        <w:rPr>
          <w:b/>
          <w:lang w:val="el-GR"/>
        </w:rPr>
        <w:t>ΔΕΝ</w:t>
      </w:r>
      <w:r>
        <w:rPr>
          <w:lang w:val="el-GR"/>
        </w:rPr>
        <w:t xml:space="preserve"> υπάρχει όριο ηλικίας.</w:t>
      </w:r>
    </w:p>
    <w:p w:rsidR="00174FA0" w:rsidRPr="009B6EAD" w:rsidRDefault="00174FA0" w:rsidP="00C05192">
      <w:pPr>
        <w:pStyle w:val="a3"/>
        <w:numPr>
          <w:ilvl w:val="0"/>
          <w:numId w:val="7"/>
        </w:numPr>
        <w:ind w:left="-284"/>
        <w:rPr>
          <w:b/>
          <w:lang w:val="el-GR"/>
        </w:rPr>
      </w:pPr>
      <w:r w:rsidRPr="009B6EAD">
        <w:rPr>
          <w:b/>
          <w:lang w:val="el-GR"/>
        </w:rPr>
        <w:t>Τι περιλαμβάνει και πόσο διαρκεί</w:t>
      </w:r>
      <w:r w:rsidR="00A17740">
        <w:rPr>
          <w:b/>
          <w:lang w:val="el-GR"/>
        </w:rPr>
        <w:t xml:space="preserve"> το «Μεταλυκειακό Έτος – Τάξη Μαθητείας των ΕΠΑΛ»;</w:t>
      </w:r>
    </w:p>
    <w:p w:rsidR="00174FA0" w:rsidRDefault="00174FA0" w:rsidP="00174FA0">
      <w:pPr>
        <w:jc w:val="both"/>
        <w:rPr>
          <w:lang w:val="el-GR"/>
        </w:rPr>
      </w:pPr>
      <w:r>
        <w:rPr>
          <w:lang w:val="el-GR"/>
        </w:rPr>
        <w:t xml:space="preserve">Το </w:t>
      </w:r>
      <w:r w:rsidR="004A1775">
        <w:rPr>
          <w:lang w:val="el-GR"/>
        </w:rPr>
        <w:t>«</w:t>
      </w:r>
      <w:r>
        <w:rPr>
          <w:lang w:val="el-GR"/>
        </w:rPr>
        <w:t>Μεταλυκειακό Έτος – Τάξη μαθητείας των ΕΠΑΛ</w:t>
      </w:r>
      <w:r w:rsidR="004A1775">
        <w:rPr>
          <w:lang w:val="el-GR"/>
        </w:rPr>
        <w:t>»</w:t>
      </w:r>
      <w:r>
        <w:rPr>
          <w:lang w:val="el-GR"/>
        </w:rPr>
        <w:t xml:space="preserve"> αποτελεί ένα </w:t>
      </w:r>
      <w:r w:rsidRPr="009B6EAD">
        <w:rPr>
          <w:b/>
          <w:lang w:val="el-GR"/>
        </w:rPr>
        <w:t>προαιρετικό</w:t>
      </w:r>
      <w:r>
        <w:rPr>
          <w:lang w:val="el-GR"/>
        </w:rPr>
        <w:t xml:space="preserve"> 4</w:t>
      </w:r>
      <w:r w:rsidRPr="009B6EAD">
        <w:rPr>
          <w:vertAlign w:val="superscript"/>
          <w:lang w:val="el-GR"/>
        </w:rPr>
        <w:t>ο</w:t>
      </w:r>
      <w:r>
        <w:rPr>
          <w:lang w:val="el-GR"/>
        </w:rPr>
        <w:t xml:space="preserve"> Έτος. </w:t>
      </w:r>
    </w:p>
    <w:p w:rsidR="00174FA0" w:rsidRDefault="00174FA0" w:rsidP="00174FA0">
      <w:pPr>
        <w:jc w:val="both"/>
        <w:rPr>
          <w:lang w:val="el-GR"/>
        </w:rPr>
      </w:pPr>
      <w:r>
        <w:rPr>
          <w:lang w:val="el-GR"/>
        </w:rPr>
        <w:t>Ο ενδιαφερόμενος που έχει αποφοιτήσει από ένα τεχνικό λύκειο, εάν το επιθυμεί, εγγράφεται σε τμήμα μαθητείας αντίστοιχης ειδικότητας με το πτυχίο που απέκτησε από το ΕΠΑΛ. Υπογράφει σύμβαση μαθητείας με εργοδότη (Ιδιωτικού ή Δημόσιου Τομέα) ο οποίος συμμετέχει στο πρόγραμμα και δραστηριοποιείται σε τομέα σχετικό με το πτυχίο του μαθητευόμενου.</w:t>
      </w:r>
    </w:p>
    <w:p w:rsidR="00174FA0" w:rsidRDefault="00174FA0" w:rsidP="00174FA0">
      <w:pPr>
        <w:jc w:val="both"/>
        <w:rPr>
          <w:lang w:val="el-GR"/>
        </w:rPr>
      </w:pPr>
      <w:r>
        <w:rPr>
          <w:lang w:val="el-GR"/>
        </w:rPr>
        <w:t>Κάθε εβδομάδα:</w:t>
      </w:r>
    </w:p>
    <w:p w:rsidR="00174FA0" w:rsidRPr="00265D6B" w:rsidRDefault="00174FA0" w:rsidP="00174FA0">
      <w:pPr>
        <w:pStyle w:val="a3"/>
        <w:numPr>
          <w:ilvl w:val="0"/>
          <w:numId w:val="3"/>
        </w:numPr>
        <w:jc w:val="both"/>
        <w:rPr>
          <w:lang w:val="el-GR"/>
        </w:rPr>
      </w:pPr>
      <w:r w:rsidRPr="00265D6B">
        <w:rPr>
          <w:b/>
          <w:lang w:val="el-GR"/>
        </w:rPr>
        <w:lastRenderedPageBreak/>
        <w:t>1 ημέρα</w:t>
      </w:r>
      <w:r w:rsidRPr="00265D6B">
        <w:rPr>
          <w:lang w:val="el-GR"/>
        </w:rPr>
        <w:t xml:space="preserve"> παρακολουθεί 7ωρο εργαστηριακό μάθημα στο ΕΠΑΛ (203 ώρες συνολικά)</w:t>
      </w:r>
    </w:p>
    <w:p w:rsidR="00174FA0" w:rsidRDefault="00174FA0" w:rsidP="00174FA0">
      <w:pPr>
        <w:pStyle w:val="a3"/>
        <w:numPr>
          <w:ilvl w:val="0"/>
          <w:numId w:val="3"/>
        </w:numPr>
        <w:jc w:val="both"/>
        <w:rPr>
          <w:lang w:val="el-GR"/>
        </w:rPr>
      </w:pPr>
      <w:r w:rsidRPr="00265D6B">
        <w:rPr>
          <w:b/>
          <w:lang w:val="el-GR"/>
        </w:rPr>
        <w:t>4 ημέρες, 7 ώρες ημερησίως</w:t>
      </w:r>
      <w:r>
        <w:rPr>
          <w:b/>
          <w:lang w:val="el-GR"/>
        </w:rPr>
        <w:t xml:space="preserve"> (</w:t>
      </w:r>
      <w:r w:rsidRPr="00265D6B">
        <w:rPr>
          <w:b/>
          <w:lang w:val="el-GR"/>
        </w:rPr>
        <w:t>28 ώρες/εβδομάδα</w:t>
      </w:r>
      <w:r>
        <w:rPr>
          <w:b/>
          <w:lang w:val="el-GR"/>
        </w:rPr>
        <w:t>)</w:t>
      </w:r>
      <w:r>
        <w:rPr>
          <w:lang w:val="el-GR"/>
        </w:rPr>
        <w:t xml:space="preserve">, </w:t>
      </w:r>
      <w:r w:rsidRPr="00265D6B">
        <w:rPr>
          <w:lang w:val="el-GR"/>
        </w:rPr>
        <w:t xml:space="preserve">εκπαιδεύεται στο χώρο εργασίας από έμπειρο </w:t>
      </w:r>
      <w:r>
        <w:rPr>
          <w:lang w:val="el-GR"/>
        </w:rPr>
        <w:t>στέλεχος της επιχείρησης,συναφούς επαγγελματικής ειδικότητας (156 ημέρες</w:t>
      </w:r>
      <w:r w:rsidRPr="00265D6B">
        <w:rPr>
          <w:lang w:val="el-GR"/>
        </w:rPr>
        <w:t xml:space="preserve"> συνολικά</w:t>
      </w:r>
      <w:r>
        <w:rPr>
          <w:lang w:val="el-GR"/>
        </w:rPr>
        <w:t>)</w:t>
      </w:r>
    </w:p>
    <w:p w:rsidR="00174FA0" w:rsidRDefault="00174FA0" w:rsidP="00174FA0">
      <w:pPr>
        <w:jc w:val="both"/>
        <w:rPr>
          <w:lang w:val="el-GR"/>
        </w:rPr>
      </w:pPr>
      <w:r>
        <w:rPr>
          <w:lang w:val="el-GR"/>
        </w:rPr>
        <w:t>Σε όλη τη διάρκεια του προγράμματος ο μαθητευόμενος δικαιούται 12 ημέρες κανονικής άδειας και έως 12 ημέρες αναρρωτική άδεια.</w:t>
      </w:r>
    </w:p>
    <w:p w:rsidR="00174FA0" w:rsidRDefault="00174FA0" w:rsidP="00174FA0">
      <w:pPr>
        <w:jc w:val="both"/>
        <w:rPr>
          <w:b/>
          <w:lang w:val="el-GR"/>
        </w:rPr>
      </w:pPr>
      <w:r>
        <w:rPr>
          <w:lang w:val="el-GR"/>
        </w:rPr>
        <w:t xml:space="preserve">Το όλο πρόγραμμα διαρκεί </w:t>
      </w:r>
      <w:r w:rsidRPr="004E5A69">
        <w:rPr>
          <w:b/>
          <w:lang w:val="el-GR"/>
        </w:rPr>
        <w:t>1 σχολικό έτος</w:t>
      </w:r>
      <w:r>
        <w:rPr>
          <w:b/>
          <w:lang w:val="el-GR"/>
        </w:rPr>
        <w:t>.</w:t>
      </w:r>
    </w:p>
    <w:p w:rsidR="00174FA0" w:rsidRDefault="00174FA0" w:rsidP="00C05192">
      <w:pPr>
        <w:pStyle w:val="a3"/>
        <w:numPr>
          <w:ilvl w:val="0"/>
          <w:numId w:val="7"/>
        </w:numPr>
        <w:ind w:left="-284"/>
        <w:rPr>
          <w:b/>
          <w:lang w:val="el-GR"/>
        </w:rPr>
      </w:pPr>
      <w:r>
        <w:rPr>
          <w:b/>
          <w:lang w:val="el-GR"/>
        </w:rPr>
        <w:t>Τι παρέχει στο μαθητευόμενο</w:t>
      </w:r>
      <w:r w:rsidR="00334C8B">
        <w:rPr>
          <w:b/>
          <w:lang w:val="el-GR"/>
        </w:rPr>
        <w:t>;</w:t>
      </w:r>
    </w:p>
    <w:p w:rsidR="00174FA0" w:rsidRPr="004E5A69" w:rsidRDefault="00174FA0" w:rsidP="00174FA0">
      <w:pPr>
        <w:pStyle w:val="a3"/>
        <w:numPr>
          <w:ilvl w:val="0"/>
          <w:numId w:val="4"/>
        </w:numPr>
        <w:jc w:val="both"/>
        <w:rPr>
          <w:lang w:val="el-GR"/>
        </w:rPr>
      </w:pPr>
      <w:r w:rsidRPr="004E5A69">
        <w:rPr>
          <w:lang w:val="el-GR"/>
        </w:rPr>
        <w:t>Ομαλή και προστατευμένη είσοδο στην αγορά εργασίας</w:t>
      </w:r>
    </w:p>
    <w:p w:rsidR="00174FA0" w:rsidRPr="004E5A69" w:rsidRDefault="00174FA0" w:rsidP="00174FA0">
      <w:pPr>
        <w:pStyle w:val="a3"/>
        <w:numPr>
          <w:ilvl w:val="0"/>
          <w:numId w:val="4"/>
        </w:numPr>
        <w:jc w:val="both"/>
        <w:rPr>
          <w:lang w:val="el-GR"/>
        </w:rPr>
      </w:pPr>
      <w:r w:rsidRPr="004E5A69">
        <w:rPr>
          <w:lang w:val="el-GR"/>
        </w:rPr>
        <w:t>Αμοιβή (το 75% του κατώτατου ημερομισθίου) – 21,78 ευρώ ημερησίως</w:t>
      </w:r>
    </w:p>
    <w:p w:rsidR="00174FA0" w:rsidRPr="004E5A69" w:rsidRDefault="00174FA0" w:rsidP="00174FA0">
      <w:pPr>
        <w:pStyle w:val="a3"/>
        <w:numPr>
          <w:ilvl w:val="0"/>
          <w:numId w:val="4"/>
        </w:numPr>
        <w:jc w:val="both"/>
        <w:rPr>
          <w:lang w:val="el-GR"/>
        </w:rPr>
      </w:pPr>
      <w:r w:rsidRPr="004E5A69">
        <w:rPr>
          <w:lang w:val="el-GR"/>
        </w:rPr>
        <w:t>Πλήρη ασφάλιση</w:t>
      </w:r>
    </w:p>
    <w:p w:rsidR="00174FA0" w:rsidRDefault="00174FA0" w:rsidP="00174FA0">
      <w:pPr>
        <w:pStyle w:val="a3"/>
        <w:numPr>
          <w:ilvl w:val="0"/>
          <w:numId w:val="4"/>
        </w:numPr>
        <w:jc w:val="both"/>
        <w:rPr>
          <w:lang w:val="el-GR"/>
        </w:rPr>
      </w:pPr>
      <w:r w:rsidRPr="004E5A69">
        <w:rPr>
          <w:lang w:val="el-GR"/>
        </w:rPr>
        <w:t>Αναγνωρισμένη προϋπηρεσία</w:t>
      </w:r>
      <w:r>
        <w:rPr>
          <w:lang w:val="el-GR"/>
        </w:rPr>
        <w:t xml:space="preserve"> (156 ένσημα)</w:t>
      </w:r>
    </w:p>
    <w:p w:rsidR="00174FA0" w:rsidRDefault="00174FA0" w:rsidP="00174FA0">
      <w:pPr>
        <w:pStyle w:val="a3"/>
        <w:numPr>
          <w:ilvl w:val="0"/>
          <w:numId w:val="4"/>
        </w:numPr>
        <w:jc w:val="both"/>
        <w:rPr>
          <w:lang w:val="el-GR"/>
        </w:rPr>
      </w:pPr>
      <w:r w:rsidRPr="004E5A69">
        <w:rPr>
          <w:lang w:val="el-GR"/>
        </w:rPr>
        <w:t xml:space="preserve">Δυνατότητα αναβάθμισης του πτυχίου τους. Οι μαθητευόμενοι αποκτούν δικαίωμα συμμετοχής στις Εξετάσεις Πιστοποίησης για απόκτηση Πτυχίου Επιπέδου 5 (Πτυχίο αντίστοιχο των ΙΕΚ). </w:t>
      </w:r>
      <w:r>
        <w:rPr>
          <w:lang w:val="el-GR"/>
        </w:rPr>
        <w:t>(Τα ΕΠΑΛ παρέχουν πτυχίο επιπέδου 4)</w:t>
      </w:r>
    </w:p>
    <w:p w:rsidR="00174FA0" w:rsidRPr="00447579" w:rsidRDefault="00174FA0" w:rsidP="00C05192">
      <w:pPr>
        <w:pStyle w:val="a3"/>
        <w:numPr>
          <w:ilvl w:val="0"/>
          <w:numId w:val="7"/>
        </w:numPr>
        <w:ind w:left="-284"/>
        <w:rPr>
          <w:b/>
          <w:lang w:val="el-GR"/>
        </w:rPr>
      </w:pPr>
      <w:r w:rsidRPr="00447579">
        <w:rPr>
          <w:b/>
          <w:lang w:val="el-GR"/>
        </w:rPr>
        <w:t xml:space="preserve">Πως μπορεί ένας εργοδότης να συμμετάσχει </w:t>
      </w:r>
      <w:r w:rsidR="00A17740">
        <w:rPr>
          <w:b/>
          <w:lang w:val="el-GR"/>
        </w:rPr>
        <w:t>στο πρόγραμμα</w:t>
      </w:r>
      <w:r w:rsidR="00334C8B">
        <w:rPr>
          <w:b/>
          <w:lang w:val="el-GR"/>
        </w:rPr>
        <w:t>;</w:t>
      </w:r>
    </w:p>
    <w:p w:rsidR="00174FA0" w:rsidRDefault="00174FA0" w:rsidP="00174FA0">
      <w:pPr>
        <w:jc w:val="both"/>
        <w:rPr>
          <w:lang w:val="el-GR"/>
        </w:rPr>
      </w:pPr>
      <w:r>
        <w:rPr>
          <w:lang w:val="el-GR"/>
        </w:rPr>
        <w:t>Κάθε χρόνο</w:t>
      </w:r>
      <w:r w:rsidR="005B6E20">
        <w:rPr>
          <w:lang w:val="el-GR"/>
        </w:rPr>
        <w:t>,</w:t>
      </w:r>
      <w:r>
        <w:rPr>
          <w:lang w:val="el-GR"/>
        </w:rPr>
        <w:t xml:space="preserve"> το Μάιο</w:t>
      </w:r>
      <w:r w:rsidR="005B6E20">
        <w:rPr>
          <w:lang w:val="el-GR"/>
        </w:rPr>
        <w:t>,</w:t>
      </w:r>
      <w:r>
        <w:rPr>
          <w:lang w:val="el-GR"/>
        </w:rPr>
        <w:t xml:space="preserve"> το Υπουργείο Παιδείας </w:t>
      </w:r>
      <w:r w:rsidR="009402AE">
        <w:rPr>
          <w:lang w:val="el-GR"/>
        </w:rPr>
        <w:t xml:space="preserve">και Θρησκευμάτων </w:t>
      </w:r>
      <w:r>
        <w:rPr>
          <w:lang w:val="el-GR"/>
        </w:rPr>
        <w:t xml:space="preserve">κάνει πρόσκληση στους Δημόσιους και Ιδιωτικούς φορείς να προσφέρουν θέσεις μαθητείας στο πρόγραμμα. Οι ενδιαφερόμενοι εργοδότες μπαίνουν στην </w:t>
      </w:r>
      <w:hyperlink r:id="rId9" w:history="1">
        <w:r w:rsidRPr="00B14E40">
          <w:rPr>
            <w:rStyle w:val="-"/>
            <w:lang w:val="el-GR"/>
          </w:rPr>
          <w:t>πλατφόρμα του ΟΑΕΔ</w:t>
        </w:r>
      </w:hyperlink>
      <w:r>
        <w:rPr>
          <w:lang w:val="el-GR"/>
        </w:rPr>
        <w:t xml:space="preserve"> και υποβάλλουν Αγγελία θέσης Μαθητείας, δηλώνοντας ποιες ειδικότητες μαθητευόμενων τους ενδιαφέρουν. </w:t>
      </w:r>
    </w:p>
    <w:p w:rsidR="00174FA0" w:rsidRDefault="00174FA0" w:rsidP="00174FA0">
      <w:pPr>
        <w:jc w:val="both"/>
        <w:rPr>
          <w:lang w:val="el-GR"/>
        </w:rPr>
      </w:pPr>
      <w:r>
        <w:rPr>
          <w:lang w:val="el-GR"/>
        </w:rPr>
        <w:t>Ακόμα</w:t>
      </w:r>
      <w:r w:rsidR="00616765">
        <w:rPr>
          <w:lang w:val="el-GR"/>
        </w:rPr>
        <w:t>,</w:t>
      </w:r>
      <w:r>
        <w:rPr>
          <w:lang w:val="el-GR"/>
        </w:rPr>
        <w:t xml:space="preserve"> ένας εργοδότης μπορεί να προσφέρει «</w:t>
      </w:r>
      <w:r w:rsidRPr="00DA5033">
        <w:rPr>
          <w:b/>
          <w:lang w:val="el-GR"/>
        </w:rPr>
        <w:t>Δεσμευμένη Θέση</w:t>
      </w:r>
      <w:r>
        <w:rPr>
          <w:lang w:val="el-GR"/>
        </w:rPr>
        <w:t xml:space="preserve">» δηλαδή να προσφέρει θέση για συγκεκριμένο μαθητευόμενο. </w:t>
      </w:r>
    </w:p>
    <w:p w:rsidR="00174FA0" w:rsidRPr="008531A6" w:rsidRDefault="00174FA0" w:rsidP="00C05192">
      <w:pPr>
        <w:pStyle w:val="a3"/>
        <w:numPr>
          <w:ilvl w:val="0"/>
          <w:numId w:val="7"/>
        </w:numPr>
        <w:ind w:left="-284"/>
        <w:rPr>
          <w:b/>
          <w:lang w:val="el-GR"/>
        </w:rPr>
      </w:pPr>
      <w:r w:rsidRPr="008531A6">
        <w:rPr>
          <w:b/>
          <w:lang w:val="el-GR"/>
        </w:rPr>
        <w:t>Όλοι οι εργοδότες που προσφέρουν θέση θα μπουν στο πρόγραμμα;</w:t>
      </w:r>
    </w:p>
    <w:p w:rsidR="00174FA0" w:rsidRDefault="00174FA0" w:rsidP="00174FA0">
      <w:pPr>
        <w:jc w:val="both"/>
        <w:rPr>
          <w:lang w:val="el-GR"/>
        </w:rPr>
      </w:pPr>
      <w:r>
        <w:rPr>
          <w:lang w:val="el-GR"/>
        </w:rPr>
        <w:t xml:space="preserve">Όχι. Ο εργοδότης προσφέρει θέση και εάν βρεθεί μαθητευόμενος που ταιριάζει με το προφίλ της προσφερόμενης θέσης, ο υπεύθυνος εκπαιδευτικός έρχεται σε επαφή με τον εργοδότη και τον ενημερώνει. </w:t>
      </w:r>
    </w:p>
    <w:p w:rsidR="00174FA0" w:rsidRDefault="00174FA0" w:rsidP="00174FA0">
      <w:pPr>
        <w:jc w:val="both"/>
        <w:rPr>
          <w:lang w:val="el-GR"/>
        </w:rPr>
      </w:pPr>
      <w:r>
        <w:rPr>
          <w:lang w:val="el-GR"/>
        </w:rPr>
        <w:t>Ο εργοδότης συναντιέται με τον μαθητευόμενο και μόνο όταν συμφωνήσουν όλοι οι εμπλεκόμενοι προχωράμε σε υπογραφή σύμβασης και τοποθέτηση του μαθητευόμενου στην θέση μαθητείας.</w:t>
      </w:r>
    </w:p>
    <w:p w:rsidR="00174FA0" w:rsidRPr="00CA4E8A" w:rsidRDefault="00174FA0" w:rsidP="00C05192">
      <w:pPr>
        <w:pStyle w:val="a3"/>
        <w:numPr>
          <w:ilvl w:val="0"/>
          <w:numId w:val="7"/>
        </w:numPr>
        <w:ind w:left="-284"/>
        <w:rPr>
          <w:b/>
          <w:lang w:val="el-GR"/>
        </w:rPr>
      </w:pPr>
      <w:r w:rsidRPr="00CA4E8A">
        <w:rPr>
          <w:b/>
          <w:lang w:val="el-GR"/>
        </w:rPr>
        <w:t>Τι συμβαίνει εάν ο εργοδότης κατά τη διάρκεια του προγράμματος θέλει να αποχωρήσει</w:t>
      </w:r>
      <w:r w:rsidR="00334C8B">
        <w:rPr>
          <w:b/>
          <w:lang w:val="el-GR"/>
        </w:rPr>
        <w:t>;</w:t>
      </w:r>
    </w:p>
    <w:p w:rsidR="00174FA0" w:rsidRDefault="00174FA0" w:rsidP="00174FA0">
      <w:pPr>
        <w:jc w:val="both"/>
        <w:rPr>
          <w:lang w:val="el-GR"/>
        </w:rPr>
      </w:pPr>
      <w:r>
        <w:rPr>
          <w:lang w:val="el-GR"/>
        </w:rPr>
        <w:t xml:space="preserve">Κανένα πρόβλημα. Εάν, για τον οποιοδήποτε λόγο, ο εργοδότης δεν επιθυμεί τη συνέχιση του προγράμματος της μαθητείας στην επιχείρηση του, έρχεται σε επαφή με τον υπεύθυνο επόπτη καθηγητή, συζητάνε το πρόβλημα και εάν δεν υπάρχει τρόπος να λυθεί, ο εκπαιδευτικός μετακινεί τον μαθητευόμενο σε άλλη θέση μαθητείας. </w:t>
      </w:r>
    </w:p>
    <w:p w:rsidR="00174FA0" w:rsidRPr="00597365" w:rsidRDefault="00174FA0" w:rsidP="00C05192">
      <w:pPr>
        <w:pStyle w:val="a3"/>
        <w:numPr>
          <w:ilvl w:val="0"/>
          <w:numId w:val="7"/>
        </w:numPr>
        <w:ind w:left="-284"/>
        <w:rPr>
          <w:b/>
          <w:lang w:val="el-GR"/>
        </w:rPr>
      </w:pPr>
      <w:r w:rsidRPr="00597365">
        <w:rPr>
          <w:b/>
          <w:lang w:val="el-GR"/>
        </w:rPr>
        <w:t xml:space="preserve">Τι κοστίζει </w:t>
      </w:r>
      <w:r>
        <w:rPr>
          <w:b/>
          <w:lang w:val="el-GR"/>
        </w:rPr>
        <w:t xml:space="preserve">ο μαθητευόμενος </w:t>
      </w:r>
      <w:r w:rsidRPr="00597365">
        <w:rPr>
          <w:b/>
          <w:lang w:val="el-GR"/>
        </w:rPr>
        <w:t>στο εργοδότη</w:t>
      </w:r>
      <w:r w:rsidR="00334C8B">
        <w:rPr>
          <w:b/>
          <w:lang w:val="el-GR"/>
        </w:rPr>
        <w:t>;</w:t>
      </w:r>
    </w:p>
    <w:p w:rsidR="00174FA0" w:rsidRDefault="00174FA0" w:rsidP="00174FA0">
      <w:pPr>
        <w:jc w:val="both"/>
        <w:rPr>
          <w:lang w:val="el-GR"/>
        </w:rPr>
      </w:pPr>
      <w:r>
        <w:rPr>
          <w:lang w:val="el-GR"/>
        </w:rPr>
        <w:t xml:space="preserve">Ο εργοδότης που θα δεχθεί μαθητευόμενο στην επιχείρηση του, επιβαρύνεται με 9,30 ευρώ την ημέρα. Στο ποσό αυτό περιλαμβάνεται τόσο η αμοιβή του μαθητευόμενου όσο και οι ασφαλιστικές εισφορές. Το υπόλοιπο ποσό (16,54 ευρώ/ημέρα) επιδοτείται από το πρόγραμμα ΕΣΠΑ κατευθείαν στον Μαθητευόμενο. </w:t>
      </w:r>
    </w:p>
    <w:p w:rsidR="00174FA0" w:rsidRPr="00CA5F22" w:rsidRDefault="00174FA0" w:rsidP="00C05192">
      <w:pPr>
        <w:pStyle w:val="a3"/>
        <w:numPr>
          <w:ilvl w:val="0"/>
          <w:numId w:val="7"/>
        </w:numPr>
        <w:ind w:left="-284"/>
        <w:rPr>
          <w:b/>
          <w:lang w:val="el-GR"/>
        </w:rPr>
      </w:pPr>
      <w:r w:rsidRPr="00CA5F22">
        <w:rPr>
          <w:b/>
          <w:lang w:val="el-GR"/>
        </w:rPr>
        <w:t>Τι κερδίζει ο εργοδότης από τη μαθητεία</w:t>
      </w:r>
      <w:r w:rsidR="00334C8B">
        <w:rPr>
          <w:b/>
          <w:lang w:val="el-GR"/>
        </w:rPr>
        <w:t>;</w:t>
      </w:r>
    </w:p>
    <w:p w:rsidR="00174FA0" w:rsidRDefault="00174FA0" w:rsidP="00174FA0">
      <w:pPr>
        <w:jc w:val="both"/>
        <w:rPr>
          <w:lang w:val="el-GR"/>
        </w:rPr>
      </w:pPr>
      <w:r>
        <w:rPr>
          <w:lang w:val="el-GR"/>
        </w:rPr>
        <w:t>Τα κυριότερα οφέλη του εργοδότη είναι ότι:</w:t>
      </w:r>
    </w:p>
    <w:p w:rsidR="00174FA0" w:rsidRPr="00E41913" w:rsidRDefault="00174FA0" w:rsidP="00174FA0">
      <w:pPr>
        <w:pStyle w:val="a3"/>
        <w:numPr>
          <w:ilvl w:val="0"/>
          <w:numId w:val="5"/>
        </w:numPr>
        <w:jc w:val="both"/>
        <w:rPr>
          <w:lang w:val="el-GR"/>
        </w:rPr>
      </w:pPr>
      <w:r>
        <w:rPr>
          <w:lang w:val="el-GR"/>
        </w:rPr>
        <w:t>Έχει τη δυνατότητα να</w:t>
      </w:r>
      <w:r w:rsidRPr="00E41913">
        <w:rPr>
          <w:lang w:val="el-GR"/>
        </w:rPr>
        <w:t xml:space="preserve"> Εκπαιδεύσει</w:t>
      </w:r>
      <w:r w:rsidR="005B6E20">
        <w:rPr>
          <w:lang w:val="el-GR"/>
        </w:rPr>
        <w:t>,</w:t>
      </w:r>
      <w:r w:rsidRPr="00E41913">
        <w:rPr>
          <w:lang w:val="el-GR"/>
        </w:rPr>
        <w:t xml:space="preserve"> με χαμηλό κόστος</w:t>
      </w:r>
      <w:r w:rsidR="005B6E20">
        <w:rPr>
          <w:lang w:val="el-GR"/>
        </w:rPr>
        <w:t>,</w:t>
      </w:r>
      <w:r w:rsidRPr="00E41913">
        <w:rPr>
          <w:lang w:val="el-GR"/>
        </w:rPr>
        <w:t xml:space="preserve"> ένα άτομο το οποίο στη συνέχεια θα κρατήσει στην επιχείρηση του.</w:t>
      </w:r>
    </w:p>
    <w:p w:rsidR="00174FA0" w:rsidRDefault="00174FA0" w:rsidP="00174FA0">
      <w:pPr>
        <w:pStyle w:val="a3"/>
        <w:numPr>
          <w:ilvl w:val="0"/>
          <w:numId w:val="5"/>
        </w:numPr>
        <w:jc w:val="both"/>
        <w:rPr>
          <w:lang w:val="el-GR"/>
        </w:rPr>
      </w:pPr>
      <w:r w:rsidRPr="00E41913">
        <w:rPr>
          <w:lang w:val="el-GR"/>
        </w:rPr>
        <w:t xml:space="preserve">Ακόμα και εάν δεν χρειάζεται τη συγκεκριμένη χρονική περίοδο προσωπικό, </w:t>
      </w:r>
      <w:r>
        <w:rPr>
          <w:lang w:val="el-GR"/>
        </w:rPr>
        <w:t xml:space="preserve">βοηθάει στη δημιουργία </w:t>
      </w:r>
      <w:r w:rsidRPr="00E41913">
        <w:rPr>
          <w:lang w:val="el-GR"/>
        </w:rPr>
        <w:t>εκπαιδευμένο</w:t>
      </w:r>
      <w:r>
        <w:rPr>
          <w:lang w:val="el-GR"/>
        </w:rPr>
        <w:t>υ</w:t>
      </w:r>
      <w:r w:rsidRPr="00E41913">
        <w:rPr>
          <w:lang w:val="el-GR"/>
        </w:rPr>
        <w:t xml:space="preserve"> προσωπικο</w:t>
      </w:r>
      <w:r>
        <w:rPr>
          <w:lang w:val="el-GR"/>
        </w:rPr>
        <w:t>ύ</w:t>
      </w:r>
      <w:r w:rsidRPr="00E41913">
        <w:rPr>
          <w:lang w:val="el-GR"/>
        </w:rPr>
        <w:t xml:space="preserve"> που θα μπορούσε να καλύψει μελλοντικές ανάγκες.</w:t>
      </w:r>
    </w:p>
    <w:p w:rsidR="00174FA0" w:rsidRPr="00E41913" w:rsidRDefault="00174FA0" w:rsidP="00174FA0">
      <w:pPr>
        <w:pStyle w:val="a3"/>
        <w:numPr>
          <w:ilvl w:val="0"/>
          <w:numId w:val="5"/>
        </w:numPr>
        <w:jc w:val="both"/>
        <w:rPr>
          <w:lang w:val="el-GR"/>
        </w:rPr>
      </w:pPr>
      <w:r>
        <w:rPr>
          <w:lang w:val="el-GR"/>
        </w:rPr>
        <w:t>Το εκπαιδευμένο προσωπικό έχει ενημερωμένες δεξιότητες</w:t>
      </w:r>
      <w:r w:rsidR="00616765">
        <w:rPr>
          <w:lang w:val="el-GR"/>
        </w:rPr>
        <w:t>,</w:t>
      </w:r>
      <w:r>
        <w:rPr>
          <w:lang w:val="el-GR"/>
        </w:rPr>
        <w:t xml:space="preserve"> προσαρμοσμένες στις ανάγκες τις αγοράς εργασίας</w:t>
      </w:r>
      <w:r w:rsidR="00616765">
        <w:rPr>
          <w:lang w:val="el-GR"/>
        </w:rPr>
        <w:t>.</w:t>
      </w:r>
    </w:p>
    <w:p w:rsidR="00C05192" w:rsidRPr="00C05192" w:rsidRDefault="00174FA0" w:rsidP="00174FA0">
      <w:pPr>
        <w:pStyle w:val="a3"/>
        <w:numPr>
          <w:ilvl w:val="0"/>
          <w:numId w:val="5"/>
        </w:numPr>
        <w:jc w:val="both"/>
        <w:rPr>
          <w:b/>
          <w:lang w:val="el-GR"/>
        </w:rPr>
      </w:pPr>
      <w:r w:rsidRPr="00C05192">
        <w:rPr>
          <w:lang w:val="el-GR"/>
        </w:rPr>
        <w:t xml:space="preserve">Έχει τη δυνατότητα βρει προσωπικό με βασική επαγγελματική κατάρτιση. </w:t>
      </w:r>
      <w:r w:rsidR="00616765" w:rsidRPr="00C05192">
        <w:rPr>
          <w:lang w:val="el-GR"/>
        </w:rPr>
        <w:t xml:space="preserve">Έχουμε διαπιστώσει ότι στα Χανιά, οι εργοδότες σε πολλές ειδικότητες (ηλεκτρολόγοι, ψυκτικοί, συνεργία αυτοκινήτων κλπ) αντιμετωπίζουν τεράστιο πρόβλημα στο να βρουν προσωπικό με βασική επαγγελματική κατάρτιση. Αυτό οφείλεται στο ότι </w:t>
      </w:r>
      <w:r w:rsidRPr="00C05192">
        <w:rPr>
          <w:lang w:val="el-GR"/>
        </w:rPr>
        <w:t xml:space="preserve">οι περισσότεροι νέοι ασχολούνται με τον τουρισμό, ακόμα και εάν έχουν </w:t>
      </w:r>
      <w:r w:rsidR="00616765" w:rsidRPr="00C05192">
        <w:rPr>
          <w:lang w:val="el-GR"/>
        </w:rPr>
        <w:t xml:space="preserve">πάρει ένα τεχνικό πτυχίο. Μέσα από τη διαδικασία της Μαθητείας πολλοί </w:t>
      </w:r>
      <w:r w:rsidR="005B6E20">
        <w:rPr>
          <w:lang w:val="el-GR"/>
        </w:rPr>
        <w:t>από αυτούς</w:t>
      </w:r>
      <w:r w:rsidR="00616765" w:rsidRPr="00C05192">
        <w:rPr>
          <w:lang w:val="el-GR"/>
        </w:rPr>
        <w:t xml:space="preserve"> ανακαλύπτουν </w:t>
      </w:r>
      <w:r w:rsidR="00C05192" w:rsidRPr="00C05192">
        <w:rPr>
          <w:lang w:val="el-GR"/>
        </w:rPr>
        <w:t xml:space="preserve">τις επιλογές που έχουν και οι οποίες ήταν και ο αρχικός τους στόχος. </w:t>
      </w:r>
    </w:p>
    <w:p w:rsidR="00174FA0" w:rsidRPr="00C05192" w:rsidRDefault="00174FA0" w:rsidP="00C05192">
      <w:pPr>
        <w:pStyle w:val="a3"/>
        <w:numPr>
          <w:ilvl w:val="0"/>
          <w:numId w:val="7"/>
        </w:numPr>
        <w:ind w:left="-284"/>
        <w:rPr>
          <w:b/>
          <w:lang w:val="el-GR"/>
        </w:rPr>
      </w:pPr>
      <w:r w:rsidRPr="00C05192">
        <w:rPr>
          <w:b/>
          <w:lang w:val="el-GR"/>
        </w:rPr>
        <w:t>Η μαθητεία</w:t>
      </w:r>
      <w:r w:rsidR="00C05192">
        <w:rPr>
          <w:b/>
          <w:lang w:val="el-GR"/>
        </w:rPr>
        <w:t xml:space="preserve"> αποτελεί φθηνή μορφή εργασίας;</w:t>
      </w:r>
    </w:p>
    <w:p w:rsidR="00174FA0" w:rsidRDefault="00C05192" w:rsidP="00174FA0">
      <w:pPr>
        <w:jc w:val="both"/>
        <w:rPr>
          <w:lang w:val="el-GR"/>
        </w:rPr>
      </w:pPr>
      <w:r>
        <w:rPr>
          <w:lang w:val="el-GR"/>
        </w:rPr>
        <w:t>Όχι</w:t>
      </w:r>
      <w:r w:rsidR="00174FA0">
        <w:rPr>
          <w:lang w:val="el-GR"/>
        </w:rPr>
        <w:t xml:space="preserve">. </w:t>
      </w:r>
      <w:r>
        <w:rPr>
          <w:lang w:val="el-GR"/>
        </w:rPr>
        <w:t>Η μαθητεία για</w:t>
      </w:r>
      <w:r w:rsidR="00174FA0">
        <w:rPr>
          <w:lang w:val="el-GR"/>
        </w:rPr>
        <w:t xml:space="preserve"> πολλές ειδικότητες </w:t>
      </w:r>
      <w:r>
        <w:rPr>
          <w:lang w:val="el-GR"/>
        </w:rPr>
        <w:t xml:space="preserve">βελτιώνει </w:t>
      </w:r>
      <w:r w:rsidR="00174FA0">
        <w:rPr>
          <w:lang w:val="el-GR"/>
        </w:rPr>
        <w:t xml:space="preserve">τις συνθήκες με τις οποίες οι νέοι εισέρχονται στην αγορά εργασίας και προσφέρει ασφαλιστικές δικλείδες ώστε να αποτραπεί η εκμετάλλευση του θεσμού από τους εργοδότες. </w:t>
      </w:r>
    </w:p>
    <w:p w:rsidR="00174FA0" w:rsidRDefault="00174FA0" w:rsidP="00174FA0">
      <w:pPr>
        <w:pStyle w:val="a3"/>
        <w:numPr>
          <w:ilvl w:val="0"/>
          <w:numId w:val="6"/>
        </w:numPr>
        <w:jc w:val="both"/>
        <w:rPr>
          <w:lang w:val="el-GR"/>
        </w:rPr>
      </w:pPr>
      <w:r>
        <w:rPr>
          <w:lang w:val="el-GR"/>
        </w:rPr>
        <w:t xml:space="preserve">Σε ειδικότητες όπως Βοηθοί Νοσηλευτών και Βοηθοί Φαρμακείου, εδώ και χρόνια, </w:t>
      </w:r>
      <w:r w:rsidR="00C05192">
        <w:rPr>
          <w:lang w:val="el-GR"/>
        </w:rPr>
        <w:t xml:space="preserve">είναι </w:t>
      </w:r>
      <w:r>
        <w:rPr>
          <w:lang w:val="el-GR"/>
        </w:rPr>
        <w:t xml:space="preserve">θεσμοθετημένη η </w:t>
      </w:r>
      <w:r w:rsidRPr="005A068A">
        <w:rPr>
          <w:b/>
          <w:lang w:val="el-GR"/>
        </w:rPr>
        <w:t>υποχρεωτική</w:t>
      </w:r>
      <w:r>
        <w:rPr>
          <w:lang w:val="el-GR"/>
        </w:rPr>
        <w:t xml:space="preserve">, </w:t>
      </w:r>
      <w:r w:rsidRPr="005A068A">
        <w:rPr>
          <w:b/>
          <w:lang w:val="el-GR"/>
        </w:rPr>
        <w:t>άμισθη</w:t>
      </w:r>
      <w:r>
        <w:rPr>
          <w:lang w:val="el-GR"/>
        </w:rPr>
        <w:t xml:space="preserve"> και </w:t>
      </w:r>
      <w:r w:rsidRPr="005A068A">
        <w:rPr>
          <w:b/>
          <w:lang w:val="el-GR"/>
        </w:rPr>
        <w:t>ανασφάλιστη</w:t>
      </w:r>
      <w:r>
        <w:rPr>
          <w:lang w:val="el-GR"/>
        </w:rPr>
        <w:t xml:space="preserve"> πρακτική άσκηση. Οι </w:t>
      </w:r>
      <w:r w:rsidRPr="00242FB6">
        <w:rPr>
          <w:lang w:val="el-GR"/>
        </w:rPr>
        <w:t>Βοηθοί Νοσηλευτών</w:t>
      </w:r>
      <w:r>
        <w:rPr>
          <w:lang w:val="el-GR"/>
        </w:rPr>
        <w:t xml:space="preserve">, απόφοιτοι των ΕΠΑΛ, έπρεπε να κάνουν πρακτική άσκηση 6 μηνών σε δημόσια νοσοκομεία ή ιδιωτικές κλινικές και οι </w:t>
      </w:r>
      <w:r w:rsidRPr="00242FB6">
        <w:rPr>
          <w:lang w:val="el-GR"/>
        </w:rPr>
        <w:t>Βοηθοί Φαρμακείου</w:t>
      </w:r>
      <w:r>
        <w:rPr>
          <w:lang w:val="el-GR"/>
        </w:rPr>
        <w:t xml:space="preserve"> 1 χρόνο σε δημόσια και ιδιωτικά φαρμακεία, για να αποκτήσουν άδεια άσκησης. Αυτή η πρακτική άσκηση δεν αμειβόταν. Επίσης για την επιβεβαίωση της πρακτικής άσκησης απαιτούταν μία απλή βεβαίωση του φορέα πρακτικής και όχι ένσημα, καθώς οι πρακτικά ασκούμενοι δε λάμβαναν ασφάλιση. Οι μαθητευόμενοι των παραπάνω ειδικοτήτων</w:t>
      </w:r>
      <w:r w:rsidR="009402AE">
        <w:rPr>
          <w:lang w:val="el-GR"/>
        </w:rPr>
        <w:t>,</w:t>
      </w:r>
      <w:r>
        <w:rPr>
          <w:lang w:val="el-GR"/>
        </w:rPr>
        <w:t xml:space="preserve"> μέσω της μαθητείας</w:t>
      </w:r>
      <w:r w:rsidR="009402AE">
        <w:rPr>
          <w:lang w:val="el-GR"/>
        </w:rPr>
        <w:t>,</w:t>
      </w:r>
      <w:r>
        <w:rPr>
          <w:lang w:val="el-GR"/>
        </w:rPr>
        <w:t xml:space="preserve"> αμείβονται και λαμβάνουν πλήρη ασφάλιση από την πρώτη μέρα της εκπαίδευσης τους. Επίσης ο χρόνος της μαθητείας προσμετρείται στον απαιτούμενο χρόνο για την άδεια άσκησης. </w:t>
      </w:r>
    </w:p>
    <w:p w:rsidR="00174FA0" w:rsidRDefault="00174FA0" w:rsidP="00174FA0">
      <w:pPr>
        <w:pStyle w:val="a3"/>
        <w:numPr>
          <w:ilvl w:val="0"/>
          <w:numId w:val="6"/>
        </w:numPr>
        <w:jc w:val="both"/>
        <w:rPr>
          <w:lang w:val="el-GR"/>
        </w:rPr>
      </w:pPr>
      <w:r>
        <w:rPr>
          <w:lang w:val="el-GR"/>
        </w:rPr>
        <w:t>Σε ειδικότητες όπως Βοηθοί Ψυκτικών, Ηλεκτρολόγων κλπ. για την απόκτηση άδειας άσκησης επαγγέλματος απαιτούνται ένσημα 2 ετών. Οι απόφοιτοι των ΕΠΑΛ, εάν κατάφερναν να βρουν κάποιον τεχνίτη να τους δ</w:t>
      </w:r>
      <w:r w:rsidR="009402AE">
        <w:rPr>
          <w:lang w:val="el-GR"/>
        </w:rPr>
        <w:t>ε</w:t>
      </w:r>
      <w:r>
        <w:rPr>
          <w:lang w:val="el-GR"/>
        </w:rPr>
        <w:t xml:space="preserve">χθεί ως βοηθούς, περνούσαν ένα μεγάλο διάστημα «δοκιμαστικής περιόδου» κατά την οποία είτε δεν λάμβαναν ένσημα ή είτε τα ένσημα που λάμβαναν δεν ήταν της ειδικότητας τους. Έτσι δεν μπορούσαν να αποκτήσουν άδεια άσκησης επαγγέλματος και εγκλωβίζονταν για χρόνια χωρίς τη δυνατότητα επαγγελματικής εξέλιξης. Με τη μαθητεία αποκτούν ένσημα, τα οποία προσμετρούνται στα απαιτούμενα για την άδεια άσκησης επαγγέλματος, </w:t>
      </w:r>
      <w:r w:rsidRPr="007A19B5">
        <w:rPr>
          <w:lang w:val="el-GR"/>
        </w:rPr>
        <w:t>από την πρώτη μέρα</w:t>
      </w:r>
      <w:r>
        <w:rPr>
          <w:lang w:val="el-GR"/>
        </w:rPr>
        <w:t>. Επιπλέον</w:t>
      </w:r>
      <w:r w:rsidR="009402AE">
        <w:rPr>
          <w:lang w:val="el-GR"/>
        </w:rPr>
        <w:t xml:space="preserve"> γνωρίζουμε ότι</w:t>
      </w:r>
      <w:r>
        <w:rPr>
          <w:lang w:val="el-GR"/>
        </w:rPr>
        <w:t xml:space="preserve">, μετά το πέρας της μαθητείας, η πλειοψηφία των μαθητευόμενων που το επιθυμεί, βρίσκει ασφαλισμένη εργασία στην ειδικότητα τους, στον ίδιο ή άλλο εργοδότη. </w:t>
      </w:r>
    </w:p>
    <w:p w:rsidR="00174FA0" w:rsidRDefault="00174FA0" w:rsidP="00174FA0">
      <w:pPr>
        <w:pStyle w:val="a3"/>
        <w:numPr>
          <w:ilvl w:val="0"/>
          <w:numId w:val="6"/>
        </w:numPr>
        <w:jc w:val="both"/>
        <w:rPr>
          <w:lang w:val="el-GR"/>
        </w:rPr>
      </w:pPr>
      <w:r>
        <w:rPr>
          <w:lang w:val="el-GR"/>
        </w:rPr>
        <w:t>Κάθε μαθητευόμενος τοποθετείται δίπλα σε έμπειρο στέλεχος της επιχείρησης ο οποίος είναι υπεύθυνος για την εκπαίδευση του μαθητευόμενου. Η τήρηση αυτού του όρου ελέγχεται από τον επόπτη καθηγητή και η μη τήρηση του είναι λόγος λήξης της σύμβασης.</w:t>
      </w:r>
      <w:r w:rsidR="00616765">
        <w:rPr>
          <w:lang w:val="el-GR"/>
        </w:rPr>
        <w:t xml:space="preserve"> Σε καμία περίπτωση ο μαθητευόμενος δεν λειτουργεί αυτόνομα σε θέση </w:t>
      </w:r>
      <w:r w:rsidR="009402AE">
        <w:rPr>
          <w:lang w:val="el-GR"/>
        </w:rPr>
        <w:t>εργασίας</w:t>
      </w:r>
      <w:r w:rsidR="00616765">
        <w:rPr>
          <w:lang w:val="el-GR"/>
        </w:rPr>
        <w:t>.</w:t>
      </w:r>
    </w:p>
    <w:p w:rsidR="00174FA0" w:rsidRPr="005A068A" w:rsidRDefault="00174FA0" w:rsidP="00174FA0">
      <w:pPr>
        <w:pStyle w:val="a3"/>
        <w:numPr>
          <w:ilvl w:val="0"/>
          <w:numId w:val="6"/>
        </w:numPr>
        <w:jc w:val="both"/>
        <w:rPr>
          <w:lang w:val="el-GR"/>
        </w:rPr>
      </w:pPr>
      <w:r>
        <w:rPr>
          <w:lang w:val="el-GR"/>
        </w:rPr>
        <w:t>Οι εργοδότες μπορούν να απασχολήσουν περιορισμένο αριθμό μαθητευόμενων στην επιχείρηση τους, ώστε να αποφευχθεί η κάλυψη πάγιων αναγκών από μαθητευόμενους.</w:t>
      </w:r>
    </w:p>
    <w:tbl>
      <w:tblPr>
        <w:tblW w:w="9746" w:type="dxa"/>
        <w:jc w:val="center"/>
        <w:tblInd w:w="-2283" w:type="dxa"/>
        <w:tblLook w:val="0000"/>
      </w:tblPr>
      <w:tblGrid>
        <w:gridCol w:w="4868"/>
        <w:gridCol w:w="4878"/>
      </w:tblGrid>
      <w:tr w:rsidR="00174FA0" w:rsidRPr="005B6E20" w:rsidTr="001F53B2">
        <w:trPr>
          <w:trHeight w:val="533"/>
          <w:jc w:val="center"/>
        </w:trPr>
        <w:tc>
          <w:tcPr>
            <w:tcW w:w="4868" w:type="dxa"/>
            <w:tcBorders>
              <w:top w:val="single" w:sz="4" w:space="0" w:color="auto"/>
              <w:left w:val="single" w:sz="4" w:space="0" w:color="auto"/>
              <w:bottom w:val="single" w:sz="4" w:space="0" w:color="auto"/>
              <w:right w:val="single" w:sz="4" w:space="0" w:color="auto"/>
            </w:tcBorders>
            <w:shd w:val="clear" w:color="auto" w:fill="CCFFFF"/>
            <w:vAlign w:val="center"/>
          </w:tcPr>
          <w:p w:rsidR="00174FA0" w:rsidRPr="00FF4C2D" w:rsidRDefault="00174FA0" w:rsidP="009402AE">
            <w:pPr>
              <w:spacing w:after="0"/>
              <w:jc w:val="center"/>
              <w:rPr>
                <w:rFonts w:cs="Arial"/>
                <w:b/>
                <w:bCs/>
                <w:lang w:val="el-GR"/>
              </w:rPr>
            </w:pPr>
            <w:r w:rsidRPr="00FF4C2D">
              <w:rPr>
                <w:rFonts w:cs="Arial"/>
                <w:b/>
                <w:bCs/>
                <w:lang w:val="el-GR"/>
              </w:rPr>
              <w:t>ΑΡΙΘΜΟΣ ΕΡΓΑΖΟΜΕΝΩΝ ΕΠΙΧΕΙΡΗΣΗΣ</w:t>
            </w:r>
          </w:p>
          <w:p w:rsidR="00174FA0" w:rsidRPr="00FF4C2D" w:rsidRDefault="00174FA0" w:rsidP="009402AE">
            <w:pPr>
              <w:spacing w:after="0"/>
              <w:jc w:val="center"/>
              <w:rPr>
                <w:rFonts w:cs="Arial"/>
                <w:b/>
                <w:bCs/>
                <w:lang w:val="el-GR"/>
              </w:rPr>
            </w:pPr>
            <w:r w:rsidRPr="00FF4C2D">
              <w:rPr>
                <w:rFonts w:cs="Arial"/>
                <w:b/>
                <w:bCs/>
                <w:lang w:val="el-GR"/>
              </w:rPr>
              <w:t>(με σχέση εξαρτημένης εργασίας)</w:t>
            </w:r>
          </w:p>
        </w:tc>
        <w:tc>
          <w:tcPr>
            <w:tcW w:w="4878" w:type="dxa"/>
            <w:tcBorders>
              <w:top w:val="single" w:sz="4" w:space="0" w:color="auto"/>
              <w:left w:val="nil"/>
              <w:bottom w:val="single" w:sz="4" w:space="0" w:color="auto"/>
              <w:right w:val="single" w:sz="4" w:space="0" w:color="auto"/>
            </w:tcBorders>
            <w:shd w:val="clear" w:color="auto" w:fill="CCFFFF"/>
            <w:vAlign w:val="center"/>
          </w:tcPr>
          <w:p w:rsidR="00174FA0" w:rsidRPr="00FF4C2D" w:rsidRDefault="00174FA0" w:rsidP="009402AE">
            <w:pPr>
              <w:spacing w:after="0"/>
              <w:jc w:val="center"/>
              <w:rPr>
                <w:rFonts w:cs="Arial"/>
                <w:b/>
                <w:bCs/>
                <w:lang w:val="el-GR"/>
              </w:rPr>
            </w:pPr>
            <w:r w:rsidRPr="00FF4C2D">
              <w:rPr>
                <w:rFonts w:cs="Arial"/>
                <w:b/>
                <w:bCs/>
                <w:lang w:val="el-GR"/>
              </w:rPr>
              <w:t>ΑΝΩΤΑΤΟΣ ΑΡΙΘΜΟΣ ΘΕΣΕΩΝ ΜΑΘΗΤΕΙΑΣ ΟΛΩΝ ΤΩΝ ΔΟΜΩΝ ΕΠΑΓΓΕΛΜΑΤΙΚΗΣ ΕΚΠΑΙΔΕΥΣΗΣ ΚΑΙ ΚΑΤΑΡΤΙΣΗΣ (ΕΠΑ.Σ - ΕΠΑ.Λ - ΙΕΚ)</w:t>
            </w:r>
          </w:p>
        </w:tc>
      </w:tr>
      <w:tr w:rsidR="00174FA0" w:rsidRPr="00302A71" w:rsidTr="001F53B2">
        <w:trPr>
          <w:trHeight w:val="295"/>
          <w:jc w:val="center"/>
        </w:trPr>
        <w:tc>
          <w:tcPr>
            <w:tcW w:w="4868" w:type="dxa"/>
            <w:tcBorders>
              <w:top w:val="nil"/>
              <w:left w:val="single" w:sz="4" w:space="0" w:color="auto"/>
              <w:bottom w:val="single" w:sz="4" w:space="0" w:color="auto"/>
              <w:right w:val="single" w:sz="4" w:space="0" w:color="auto"/>
            </w:tcBorders>
            <w:noWrap/>
            <w:vAlign w:val="bottom"/>
          </w:tcPr>
          <w:p w:rsidR="00174FA0" w:rsidRPr="001B4D25" w:rsidRDefault="00174FA0" w:rsidP="009402AE">
            <w:pPr>
              <w:spacing w:after="0"/>
              <w:jc w:val="center"/>
              <w:rPr>
                <w:rFonts w:cs="Arial"/>
                <w:bCs/>
              </w:rPr>
            </w:pPr>
            <w:r w:rsidRPr="001B4D25">
              <w:rPr>
                <w:rFonts w:cs="Arial"/>
                <w:bCs/>
              </w:rPr>
              <w:t>Ατομική Επιχείρηση</w:t>
            </w:r>
          </w:p>
        </w:tc>
        <w:tc>
          <w:tcPr>
            <w:tcW w:w="4878" w:type="dxa"/>
            <w:tcBorders>
              <w:top w:val="nil"/>
              <w:left w:val="nil"/>
              <w:bottom w:val="single" w:sz="4" w:space="0" w:color="auto"/>
              <w:right w:val="single" w:sz="4" w:space="0" w:color="auto"/>
            </w:tcBorders>
            <w:noWrap/>
            <w:vAlign w:val="bottom"/>
          </w:tcPr>
          <w:p w:rsidR="00174FA0" w:rsidRPr="001B4D25" w:rsidRDefault="00174FA0" w:rsidP="009402AE">
            <w:pPr>
              <w:spacing w:after="0"/>
              <w:jc w:val="center"/>
              <w:rPr>
                <w:rFonts w:cs="Arial"/>
                <w:bCs/>
              </w:rPr>
            </w:pPr>
            <w:r w:rsidRPr="001B4D25">
              <w:rPr>
                <w:rFonts w:cs="Arial"/>
                <w:bCs/>
              </w:rPr>
              <w:t>1</w:t>
            </w:r>
          </w:p>
        </w:tc>
      </w:tr>
      <w:tr w:rsidR="00174FA0" w:rsidRPr="00302A71" w:rsidTr="001F53B2">
        <w:trPr>
          <w:trHeight w:val="263"/>
          <w:jc w:val="center"/>
        </w:trPr>
        <w:tc>
          <w:tcPr>
            <w:tcW w:w="4868" w:type="dxa"/>
            <w:tcBorders>
              <w:top w:val="nil"/>
              <w:left w:val="single" w:sz="4" w:space="0" w:color="auto"/>
              <w:bottom w:val="single" w:sz="4" w:space="0" w:color="auto"/>
              <w:right w:val="single" w:sz="4" w:space="0" w:color="auto"/>
            </w:tcBorders>
            <w:noWrap/>
            <w:vAlign w:val="bottom"/>
          </w:tcPr>
          <w:p w:rsidR="00174FA0" w:rsidRPr="001B4D25" w:rsidRDefault="00174FA0" w:rsidP="009402AE">
            <w:pPr>
              <w:spacing w:after="0"/>
              <w:jc w:val="center"/>
              <w:rPr>
                <w:rFonts w:cs="Arial"/>
                <w:bCs/>
              </w:rPr>
            </w:pPr>
            <w:r w:rsidRPr="001B4D25">
              <w:rPr>
                <w:rFonts w:cs="Arial"/>
                <w:bCs/>
              </w:rPr>
              <w:t xml:space="preserve">1  έως  5 </w:t>
            </w:r>
          </w:p>
        </w:tc>
        <w:tc>
          <w:tcPr>
            <w:tcW w:w="4878" w:type="dxa"/>
            <w:tcBorders>
              <w:top w:val="nil"/>
              <w:left w:val="nil"/>
              <w:bottom w:val="single" w:sz="4" w:space="0" w:color="auto"/>
              <w:right w:val="single" w:sz="4" w:space="0" w:color="auto"/>
            </w:tcBorders>
            <w:noWrap/>
            <w:vAlign w:val="bottom"/>
          </w:tcPr>
          <w:p w:rsidR="00174FA0" w:rsidRPr="001B4D25" w:rsidRDefault="00174FA0" w:rsidP="009402AE">
            <w:pPr>
              <w:spacing w:after="0"/>
              <w:jc w:val="center"/>
              <w:rPr>
                <w:rFonts w:cs="Arial"/>
                <w:bCs/>
              </w:rPr>
            </w:pPr>
            <w:r w:rsidRPr="001B4D25">
              <w:rPr>
                <w:rFonts w:cs="Arial"/>
                <w:bCs/>
              </w:rPr>
              <w:t>1</w:t>
            </w:r>
          </w:p>
        </w:tc>
      </w:tr>
      <w:tr w:rsidR="00174FA0" w:rsidRPr="00302A71" w:rsidTr="001F53B2">
        <w:trPr>
          <w:trHeight w:val="276"/>
          <w:jc w:val="center"/>
        </w:trPr>
        <w:tc>
          <w:tcPr>
            <w:tcW w:w="4868" w:type="dxa"/>
            <w:tcBorders>
              <w:top w:val="nil"/>
              <w:left w:val="single" w:sz="4" w:space="0" w:color="auto"/>
              <w:bottom w:val="single" w:sz="4" w:space="0" w:color="auto"/>
              <w:right w:val="single" w:sz="4" w:space="0" w:color="auto"/>
            </w:tcBorders>
            <w:noWrap/>
            <w:vAlign w:val="bottom"/>
          </w:tcPr>
          <w:p w:rsidR="00174FA0" w:rsidRPr="001B4D25" w:rsidRDefault="00174FA0" w:rsidP="009402AE">
            <w:pPr>
              <w:spacing w:after="0"/>
              <w:jc w:val="center"/>
              <w:rPr>
                <w:rFonts w:cs="Arial"/>
                <w:bCs/>
              </w:rPr>
            </w:pPr>
            <w:r w:rsidRPr="001B4D25">
              <w:rPr>
                <w:rFonts w:cs="Arial"/>
                <w:bCs/>
              </w:rPr>
              <w:t xml:space="preserve">6  έως  10 </w:t>
            </w:r>
          </w:p>
        </w:tc>
        <w:tc>
          <w:tcPr>
            <w:tcW w:w="4878" w:type="dxa"/>
            <w:tcBorders>
              <w:top w:val="nil"/>
              <w:left w:val="nil"/>
              <w:bottom w:val="single" w:sz="4" w:space="0" w:color="auto"/>
              <w:right w:val="single" w:sz="4" w:space="0" w:color="auto"/>
            </w:tcBorders>
            <w:noWrap/>
            <w:vAlign w:val="bottom"/>
          </w:tcPr>
          <w:p w:rsidR="00174FA0" w:rsidRPr="001B4D25" w:rsidRDefault="00174FA0" w:rsidP="009402AE">
            <w:pPr>
              <w:spacing w:after="0"/>
              <w:jc w:val="center"/>
              <w:rPr>
                <w:rFonts w:cs="Arial"/>
                <w:bCs/>
              </w:rPr>
            </w:pPr>
            <w:r w:rsidRPr="001B4D25">
              <w:rPr>
                <w:rFonts w:cs="Arial"/>
                <w:bCs/>
              </w:rPr>
              <w:t>2</w:t>
            </w:r>
          </w:p>
        </w:tc>
      </w:tr>
      <w:tr w:rsidR="00174FA0" w:rsidRPr="00302A71" w:rsidTr="001F53B2">
        <w:trPr>
          <w:trHeight w:val="261"/>
          <w:jc w:val="center"/>
        </w:trPr>
        <w:tc>
          <w:tcPr>
            <w:tcW w:w="4868" w:type="dxa"/>
            <w:tcBorders>
              <w:top w:val="nil"/>
              <w:left w:val="single" w:sz="4" w:space="0" w:color="auto"/>
              <w:bottom w:val="single" w:sz="4" w:space="0" w:color="auto"/>
              <w:right w:val="single" w:sz="4" w:space="0" w:color="auto"/>
            </w:tcBorders>
            <w:noWrap/>
            <w:vAlign w:val="bottom"/>
          </w:tcPr>
          <w:p w:rsidR="00174FA0" w:rsidRPr="001B4D25" w:rsidRDefault="00174FA0" w:rsidP="009402AE">
            <w:pPr>
              <w:spacing w:after="0"/>
              <w:jc w:val="center"/>
              <w:rPr>
                <w:rFonts w:cs="Arial"/>
                <w:bCs/>
              </w:rPr>
            </w:pPr>
            <w:r w:rsidRPr="001B4D25">
              <w:rPr>
                <w:rFonts w:cs="Arial"/>
                <w:bCs/>
              </w:rPr>
              <w:t>11  έως  14</w:t>
            </w:r>
          </w:p>
        </w:tc>
        <w:tc>
          <w:tcPr>
            <w:tcW w:w="4878" w:type="dxa"/>
            <w:tcBorders>
              <w:top w:val="nil"/>
              <w:left w:val="nil"/>
              <w:bottom w:val="single" w:sz="4" w:space="0" w:color="auto"/>
              <w:right w:val="single" w:sz="4" w:space="0" w:color="auto"/>
            </w:tcBorders>
            <w:noWrap/>
            <w:vAlign w:val="bottom"/>
          </w:tcPr>
          <w:p w:rsidR="00174FA0" w:rsidRPr="001B4D25" w:rsidRDefault="00174FA0" w:rsidP="009402AE">
            <w:pPr>
              <w:spacing w:after="0"/>
              <w:jc w:val="center"/>
              <w:rPr>
                <w:rFonts w:cs="Arial"/>
                <w:bCs/>
              </w:rPr>
            </w:pPr>
            <w:r w:rsidRPr="001B4D25">
              <w:rPr>
                <w:rFonts w:cs="Arial"/>
                <w:bCs/>
              </w:rPr>
              <w:t>2</w:t>
            </w:r>
          </w:p>
        </w:tc>
      </w:tr>
      <w:tr w:rsidR="00174FA0" w:rsidRPr="00302A71" w:rsidTr="001F53B2">
        <w:trPr>
          <w:trHeight w:val="265"/>
          <w:jc w:val="center"/>
        </w:trPr>
        <w:tc>
          <w:tcPr>
            <w:tcW w:w="4868" w:type="dxa"/>
            <w:tcBorders>
              <w:top w:val="nil"/>
              <w:left w:val="single" w:sz="4" w:space="0" w:color="auto"/>
              <w:bottom w:val="single" w:sz="4" w:space="0" w:color="auto"/>
              <w:right w:val="single" w:sz="4" w:space="0" w:color="auto"/>
            </w:tcBorders>
            <w:noWrap/>
            <w:vAlign w:val="bottom"/>
          </w:tcPr>
          <w:p w:rsidR="00174FA0" w:rsidRPr="001B4D25" w:rsidRDefault="00174FA0" w:rsidP="009402AE">
            <w:pPr>
              <w:spacing w:after="0"/>
              <w:jc w:val="center"/>
              <w:rPr>
                <w:rFonts w:cs="Arial"/>
                <w:bCs/>
              </w:rPr>
            </w:pPr>
            <w:r w:rsidRPr="001B4D25">
              <w:rPr>
                <w:rFonts w:cs="Arial"/>
                <w:bCs/>
              </w:rPr>
              <w:t xml:space="preserve"> 15  έως  20</w:t>
            </w:r>
          </w:p>
        </w:tc>
        <w:tc>
          <w:tcPr>
            <w:tcW w:w="4878" w:type="dxa"/>
            <w:tcBorders>
              <w:top w:val="nil"/>
              <w:left w:val="nil"/>
              <w:bottom w:val="single" w:sz="4" w:space="0" w:color="auto"/>
              <w:right w:val="single" w:sz="4" w:space="0" w:color="auto"/>
            </w:tcBorders>
            <w:noWrap/>
            <w:vAlign w:val="bottom"/>
          </w:tcPr>
          <w:p w:rsidR="00174FA0" w:rsidRPr="001B4D25" w:rsidRDefault="00174FA0" w:rsidP="009402AE">
            <w:pPr>
              <w:spacing w:after="0"/>
              <w:jc w:val="center"/>
              <w:rPr>
                <w:rFonts w:cs="Arial"/>
                <w:bCs/>
              </w:rPr>
            </w:pPr>
            <w:r w:rsidRPr="001B4D25">
              <w:rPr>
                <w:rFonts w:cs="Arial"/>
                <w:bCs/>
              </w:rPr>
              <w:t>3</w:t>
            </w:r>
          </w:p>
        </w:tc>
      </w:tr>
      <w:tr w:rsidR="00174FA0" w:rsidRPr="00302A71" w:rsidTr="001F53B2">
        <w:trPr>
          <w:trHeight w:val="260"/>
          <w:jc w:val="center"/>
        </w:trPr>
        <w:tc>
          <w:tcPr>
            <w:tcW w:w="4868" w:type="dxa"/>
            <w:tcBorders>
              <w:top w:val="nil"/>
              <w:left w:val="single" w:sz="4" w:space="0" w:color="auto"/>
              <w:bottom w:val="single" w:sz="4" w:space="0" w:color="auto"/>
              <w:right w:val="single" w:sz="4" w:space="0" w:color="auto"/>
            </w:tcBorders>
            <w:noWrap/>
            <w:vAlign w:val="bottom"/>
          </w:tcPr>
          <w:p w:rsidR="00174FA0" w:rsidRPr="001B4D25" w:rsidRDefault="00174FA0" w:rsidP="009402AE">
            <w:pPr>
              <w:spacing w:after="0"/>
              <w:jc w:val="center"/>
              <w:rPr>
                <w:rFonts w:cs="Arial"/>
                <w:bCs/>
              </w:rPr>
            </w:pPr>
            <w:r w:rsidRPr="001B4D25">
              <w:rPr>
                <w:rFonts w:cs="Arial"/>
                <w:bCs/>
              </w:rPr>
              <w:t>21  έως  26</w:t>
            </w:r>
          </w:p>
        </w:tc>
        <w:tc>
          <w:tcPr>
            <w:tcW w:w="4878" w:type="dxa"/>
            <w:tcBorders>
              <w:top w:val="nil"/>
              <w:left w:val="nil"/>
              <w:bottom w:val="single" w:sz="4" w:space="0" w:color="auto"/>
              <w:right w:val="single" w:sz="4" w:space="0" w:color="auto"/>
            </w:tcBorders>
            <w:noWrap/>
            <w:vAlign w:val="bottom"/>
          </w:tcPr>
          <w:p w:rsidR="00174FA0" w:rsidRPr="001B4D25" w:rsidRDefault="00174FA0" w:rsidP="009402AE">
            <w:pPr>
              <w:spacing w:after="0"/>
              <w:jc w:val="center"/>
              <w:rPr>
                <w:rFonts w:cs="Arial"/>
                <w:bCs/>
              </w:rPr>
            </w:pPr>
            <w:r w:rsidRPr="001B4D25">
              <w:rPr>
                <w:rFonts w:cs="Arial"/>
                <w:bCs/>
              </w:rPr>
              <w:t>4</w:t>
            </w:r>
          </w:p>
        </w:tc>
      </w:tr>
      <w:tr w:rsidR="00174FA0" w:rsidRPr="00302A71" w:rsidTr="001F53B2">
        <w:trPr>
          <w:trHeight w:val="273"/>
          <w:jc w:val="center"/>
        </w:trPr>
        <w:tc>
          <w:tcPr>
            <w:tcW w:w="4868" w:type="dxa"/>
            <w:tcBorders>
              <w:top w:val="single" w:sz="4" w:space="0" w:color="auto"/>
              <w:left w:val="single" w:sz="4" w:space="0" w:color="auto"/>
              <w:bottom w:val="single" w:sz="4" w:space="0" w:color="auto"/>
              <w:right w:val="single" w:sz="4" w:space="0" w:color="auto"/>
            </w:tcBorders>
            <w:noWrap/>
            <w:vAlign w:val="bottom"/>
          </w:tcPr>
          <w:p w:rsidR="00174FA0" w:rsidRPr="001B4D25" w:rsidRDefault="00174FA0" w:rsidP="009402AE">
            <w:pPr>
              <w:spacing w:after="0"/>
              <w:jc w:val="center"/>
              <w:rPr>
                <w:rFonts w:cs="Arial"/>
                <w:bCs/>
              </w:rPr>
            </w:pPr>
            <w:r w:rsidRPr="001B4D25">
              <w:rPr>
                <w:rFonts w:cs="Arial"/>
                <w:bCs/>
              </w:rPr>
              <w:t>27  έως  32</w:t>
            </w:r>
          </w:p>
        </w:tc>
        <w:tc>
          <w:tcPr>
            <w:tcW w:w="4878" w:type="dxa"/>
            <w:tcBorders>
              <w:top w:val="single" w:sz="4" w:space="0" w:color="auto"/>
              <w:left w:val="single" w:sz="4" w:space="0" w:color="auto"/>
              <w:bottom w:val="single" w:sz="4" w:space="0" w:color="auto"/>
              <w:right w:val="single" w:sz="4" w:space="0" w:color="auto"/>
            </w:tcBorders>
            <w:noWrap/>
            <w:vAlign w:val="bottom"/>
          </w:tcPr>
          <w:p w:rsidR="00174FA0" w:rsidRPr="001B4D25" w:rsidRDefault="00174FA0" w:rsidP="009402AE">
            <w:pPr>
              <w:spacing w:after="0"/>
              <w:jc w:val="center"/>
              <w:rPr>
                <w:rFonts w:cs="Arial"/>
                <w:bCs/>
              </w:rPr>
            </w:pPr>
            <w:r w:rsidRPr="001B4D25">
              <w:rPr>
                <w:rFonts w:cs="Arial"/>
                <w:bCs/>
              </w:rPr>
              <w:t>5</w:t>
            </w:r>
          </w:p>
        </w:tc>
      </w:tr>
      <w:tr w:rsidR="00174FA0" w:rsidRPr="00302A71" w:rsidTr="001F53B2">
        <w:trPr>
          <w:trHeight w:val="268"/>
          <w:jc w:val="center"/>
        </w:trPr>
        <w:tc>
          <w:tcPr>
            <w:tcW w:w="4868" w:type="dxa"/>
            <w:tcBorders>
              <w:top w:val="single" w:sz="4" w:space="0" w:color="auto"/>
              <w:left w:val="single" w:sz="4" w:space="0" w:color="auto"/>
              <w:bottom w:val="single" w:sz="4" w:space="0" w:color="auto"/>
              <w:right w:val="single" w:sz="4" w:space="0" w:color="auto"/>
            </w:tcBorders>
            <w:noWrap/>
            <w:vAlign w:val="bottom"/>
          </w:tcPr>
          <w:p w:rsidR="00174FA0" w:rsidRPr="001B4D25" w:rsidRDefault="00174FA0" w:rsidP="009402AE">
            <w:pPr>
              <w:spacing w:after="0"/>
              <w:jc w:val="center"/>
              <w:rPr>
                <w:rFonts w:cs="Arial"/>
                <w:bCs/>
              </w:rPr>
            </w:pPr>
            <w:r w:rsidRPr="001B4D25">
              <w:rPr>
                <w:rFonts w:cs="Arial"/>
                <w:bCs/>
              </w:rPr>
              <w:t xml:space="preserve"> 33  έως  38</w:t>
            </w:r>
          </w:p>
        </w:tc>
        <w:tc>
          <w:tcPr>
            <w:tcW w:w="4878" w:type="dxa"/>
            <w:tcBorders>
              <w:top w:val="single" w:sz="4" w:space="0" w:color="auto"/>
              <w:left w:val="single" w:sz="4" w:space="0" w:color="auto"/>
              <w:bottom w:val="single" w:sz="4" w:space="0" w:color="auto"/>
              <w:right w:val="single" w:sz="4" w:space="0" w:color="auto"/>
            </w:tcBorders>
            <w:noWrap/>
            <w:vAlign w:val="bottom"/>
          </w:tcPr>
          <w:p w:rsidR="00174FA0" w:rsidRPr="001B4D25" w:rsidRDefault="00174FA0" w:rsidP="009402AE">
            <w:pPr>
              <w:spacing w:after="0"/>
              <w:jc w:val="center"/>
              <w:rPr>
                <w:rFonts w:cs="Arial"/>
                <w:bCs/>
              </w:rPr>
            </w:pPr>
            <w:r w:rsidRPr="001B4D25">
              <w:rPr>
                <w:rFonts w:cs="Arial"/>
                <w:bCs/>
              </w:rPr>
              <w:t>6</w:t>
            </w:r>
          </w:p>
        </w:tc>
      </w:tr>
      <w:tr w:rsidR="00174FA0" w:rsidRPr="00302A71" w:rsidTr="001F53B2">
        <w:trPr>
          <w:trHeight w:val="263"/>
          <w:jc w:val="center"/>
        </w:trPr>
        <w:tc>
          <w:tcPr>
            <w:tcW w:w="4868" w:type="dxa"/>
            <w:tcBorders>
              <w:top w:val="single" w:sz="4" w:space="0" w:color="auto"/>
              <w:left w:val="single" w:sz="4" w:space="0" w:color="auto"/>
              <w:bottom w:val="single" w:sz="4" w:space="0" w:color="auto"/>
              <w:right w:val="single" w:sz="4" w:space="0" w:color="auto"/>
            </w:tcBorders>
            <w:noWrap/>
            <w:vAlign w:val="bottom"/>
          </w:tcPr>
          <w:p w:rsidR="00174FA0" w:rsidRPr="001B4D25" w:rsidRDefault="00174FA0" w:rsidP="009402AE">
            <w:pPr>
              <w:spacing w:after="0"/>
              <w:jc w:val="center"/>
              <w:rPr>
                <w:rFonts w:cs="Arial"/>
                <w:bCs/>
              </w:rPr>
            </w:pPr>
            <w:r w:rsidRPr="001B4D25">
              <w:rPr>
                <w:rFonts w:cs="Arial"/>
                <w:bCs/>
              </w:rPr>
              <w:t>39  έως  44</w:t>
            </w:r>
          </w:p>
        </w:tc>
        <w:tc>
          <w:tcPr>
            <w:tcW w:w="4878" w:type="dxa"/>
            <w:tcBorders>
              <w:top w:val="single" w:sz="4" w:space="0" w:color="auto"/>
              <w:left w:val="nil"/>
              <w:bottom w:val="single" w:sz="4" w:space="0" w:color="auto"/>
              <w:right w:val="single" w:sz="4" w:space="0" w:color="auto"/>
            </w:tcBorders>
            <w:noWrap/>
            <w:vAlign w:val="bottom"/>
          </w:tcPr>
          <w:p w:rsidR="00174FA0" w:rsidRPr="001B4D25" w:rsidRDefault="00174FA0" w:rsidP="009402AE">
            <w:pPr>
              <w:spacing w:after="0"/>
              <w:jc w:val="center"/>
              <w:rPr>
                <w:rFonts w:cs="Arial"/>
                <w:bCs/>
              </w:rPr>
            </w:pPr>
            <w:r w:rsidRPr="001B4D25">
              <w:rPr>
                <w:rFonts w:cs="Arial"/>
                <w:bCs/>
              </w:rPr>
              <w:t>7</w:t>
            </w:r>
          </w:p>
        </w:tc>
      </w:tr>
      <w:tr w:rsidR="00174FA0" w:rsidRPr="00302A71" w:rsidTr="001F53B2">
        <w:trPr>
          <w:trHeight w:val="266"/>
          <w:jc w:val="center"/>
        </w:trPr>
        <w:tc>
          <w:tcPr>
            <w:tcW w:w="4868" w:type="dxa"/>
            <w:tcBorders>
              <w:top w:val="nil"/>
              <w:left w:val="single" w:sz="4" w:space="0" w:color="auto"/>
              <w:bottom w:val="single" w:sz="4" w:space="0" w:color="auto"/>
              <w:right w:val="single" w:sz="4" w:space="0" w:color="auto"/>
            </w:tcBorders>
            <w:noWrap/>
            <w:vAlign w:val="bottom"/>
          </w:tcPr>
          <w:p w:rsidR="00174FA0" w:rsidRPr="001B4D25" w:rsidRDefault="00174FA0" w:rsidP="009402AE">
            <w:pPr>
              <w:spacing w:after="0"/>
              <w:jc w:val="center"/>
              <w:rPr>
                <w:rFonts w:cs="Arial"/>
                <w:bCs/>
              </w:rPr>
            </w:pPr>
            <w:r w:rsidRPr="001B4D25">
              <w:rPr>
                <w:rFonts w:cs="Arial"/>
                <w:bCs/>
              </w:rPr>
              <w:t xml:space="preserve"> 45  έως  50</w:t>
            </w:r>
          </w:p>
        </w:tc>
        <w:tc>
          <w:tcPr>
            <w:tcW w:w="4878" w:type="dxa"/>
            <w:tcBorders>
              <w:top w:val="nil"/>
              <w:left w:val="nil"/>
              <w:bottom w:val="single" w:sz="4" w:space="0" w:color="auto"/>
              <w:right w:val="single" w:sz="4" w:space="0" w:color="auto"/>
            </w:tcBorders>
            <w:noWrap/>
            <w:vAlign w:val="bottom"/>
          </w:tcPr>
          <w:p w:rsidR="00174FA0" w:rsidRPr="001B4D25" w:rsidRDefault="00174FA0" w:rsidP="009402AE">
            <w:pPr>
              <w:spacing w:after="0"/>
              <w:jc w:val="center"/>
              <w:rPr>
                <w:rFonts w:cs="Arial"/>
                <w:bCs/>
              </w:rPr>
            </w:pPr>
            <w:r w:rsidRPr="001B4D25">
              <w:rPr>
                <w:rFonts w:cs="Arial"/>
                <w:bCs/>
              </w:rPr>
              <w:t>8</w:t>
            </w:r>
          </w:p>
        </w:tc>
      </w:tr>
      <w:tr w:rsidR="00174FA0" w:rsidRPr="00302A71" w:rsidTr="001F53B2">
        <w:trPr>
          <w:trHeight w:val="270"/>
          <w:jc w:val="center"/>
        </w:trPr>
        <w:tc>
          <w:tcPr>
            <w:tcW w:w="4868" w:type="dxa"/>
            <w:tcBorders>
              <w:top w:val="nil"/>
              <w:left w:val="single" w:sz="4" w:space="0" w:color="auto"/>
              <w:bottom w:val="single" w:sz="4" w:space="0" w:color="auto"/>
              <w:right w:val="single" w:sz="4" w:space="0" w:color="auto"/>
            </w:tcBorders>
            <w:noWrap/>
            <w:vAlign w:val="bottom"/>
          </w:tcPr>
          <w:p w:rsidR="00174FA0" w:rsidRPr="001B4D25" w:rsidRDefault="00174FA0" w:rsidP="009402AE">
            <w:pPr>
              <w:spacing w:after="0"/>
              <w:jc w:val="center"/>
              <w:rPr>
                <w:rFonts w:cs="Arial"/>
                <w:bCs/>
              </w:rPr>
            </w:pPr>
            <w:r w:rsidRPr="001B4D25">
              <w:rPr>
                <w:rFonts w:cs="Arial"/>
                <w:bCs/>
              </w:rPr>
              <w:t xml:space="preserve"> 51  έως  55</w:t>
            </w:r>
          </w:p>
        </w:tc>
        <w:tc>
          <w:tcPr>
            <w:tcW w:w="4878" w:type="dxa"/>
            <w:tcBorders>
              <w:top w:val="nil"/>
              <w:left w:val="nil"/>
              <w:bottom w:val="single" w:sz="4" w:space="0" w:color="auto"/>
              <w:right w:val="single" w:sz="4" w:space="0" w:color="auto"/>
            </w:tcBorders>
            <w:noWrap/>
            <w:vAlign w:val="bottom"/>
          </w:tcPr>
          <w:p w:rsidR="00174FA0" w:rsidRPr="001B4D25" w:rsidRDefault="00174FA0" w:rsidP="009402AE">
            <w:pPr>
              <w:spacing w:after="0"/>
              <w:jc w:val="center"/>
              <w:rPr>
                <w:rFonts w:cs="Arial"/>
                <w:bCs/>
              </w:rPr>
            </w:pPr>
            <w:r w:rsidRPr="001B4D25">
              <w:rPr>
                <w:rFonts w:cs="Arial"/>
                <w:bCs/>
              </w:rPr>
              <w:t>9</w:t>
            </w:r>
          </w:p>
        </w:tc>
      </w:tr>
      <w:tr w:rsidR="00174FA0" w:rsidRPr="00302A71" w:rsidTr="001F53B2">
        <w:trPr>
          <w:trHeight w:val="265"/>
          <w:jc w:val="center"/>
        </w:trPr>
        <w:tc>
          <w:tcPr>
            <w:tcW w:w="4868" w:type="dxa"/>
            <w:tcBorders>
              <w:top w:val="nil"/>
              <w:left w:val="single" w:sz="4" w:space="0" w:color="auto"/>
              <w:bottom w:val="single" w:sz="4" w:space="0" w:color="auto"/>
              <w:right w:val="single" w:sz="4" w:space="0" w:color="auto"/>
            </w:tcBorders>
            <w:noWrap/>
            <w:vAlign w:val="bottom"/>
          </w:tcPr>
          <w:p w:rsidR="00174FA0" w:rsidRPr="001B4D25" w:rsidRDefault="00174FA0" w:rsidP="009402AE">
            <w:pPr>
              <w:spacing w:after="0"/>
              <w:jc w:val="center"/>
              <w:rPr>
                <w:rFonts w:cs="Arial"/>
                <w:bCs/>
              </w:rPr>
            </w:pPr>
            <w:r w:rsidRPr="001B4D25">
              <w:rPr>
                <w:rFonts w:cs="Arial"/>
                <w:bCs/>
              </w:rPr>
              <w:t xml:space="preserve"> 56  έως  61</w:t>
            </w:r>
          </w:p>
        </w:tc>
        <w:tc>
          <w:tcPr>
            <w:tcW w:w="4878" w:type="dxa"/>
            <w:tcBorders>
              <w:top w:val="nil"/>
              <w:left w:val="nil"/>
              <w:bottom w:val="single" w:sz="4" w:space="0" w:color="auto"/>
              <w:right w:val="single" w:sz="4" w:space="0" w:color="auto"/>
            </w:tcBorders>
            <w:noWrap/>
            <w:vAlign w:val="bottom"/>
          </w:tcPr>
          <w:p w:rsidR="00174FA0" w:rsidRPr="001B4D25" w:rsidRDefault="00174FA0" w:rsidP="009402AE">
            <w:pPr>
              <w:spacing w:after="0"/>
              <w:jc w:val="center"/>
              <w:rPr>
                <w:rFonts w:cs="Arial"/>
                <w:bCs/>
              </w:rPr>
            </w:pPr>
            <w:r w:rsidRPr="001B4D25">
              <w:rPr>
                <w:rFonts w:cs="Arial"/>
                <w:bCs/>
              </w:rPr>
              <w:t>10</w:t>
            </w:r>
          </w:p>
        </w:tc>
      </w:tr>
      <w:tr w:rsidR="00174FA0" w:rsidRPr="005B6E20" w:rsidTr="001F53B2">
        <w:trPr>
          <w:trHeight w:val="2658"/>
          <w:jc w:val="center"/>
        </w:trPr>
        <w:tc>
          <w:tcPr>
            <w:tcW w:w="9746" w:type="dxa"/>
            <w:gridSpan w:val="2"/>
            <w:tcBorders>
              <w:top w:val="single" w:sz="4" w:space="0" w:color="auto"/>
              <w:left w:val="single" w:sz="4" w:space="0" w:color="auto"/>
              <w:bottom w:val="single" w:sz="4" w:space="0" w:color="000000"/>
              <w:right w:val="single" w:sz="4" w:space="0" w:color="000000"/>
            </w:tcBorders>
            <w:vAlign w:val="bottom"/>
          </w:tcPr>
          <w:p w:rsidR="00174FA0" w:rsidRPr="001F53B2" w:rsidRDefault="00174FA0" w:rsidP="009402AE">
            <w:pPr>
              <w:pStyle w:val="western"/>
              <w:spacing w:before="0" w:beforeAutospacing="0" w:after="240" w:afterAutospacing="0" w:line="276" w:lineRule="auto"/>
              <w:rPr>
                <w:rFonts w:asciiTheme="minorHAnsi" w:hAnsiTheme="minorHAnsi"/>
                <w:sz w:val="20"/>
                <w:szCs w:val="20"/>
              </w:rPr>
            </w:pPr>
            <w:r w:rsidRPr="001F53B2">
              <w:rPr>
                <w:rFonts w:asciiTheme="minorHAnsi" w:hAnsiTheme="minorHAnsi"/>
                <w:sz w:val="20"/>
                <w:szCs w:val="20"/>
              </w:rPr>
              <w:t>Σημειώνεται ότι:</w:t>
            </w:r>
          </w:p>
          <w:p w:rsidR="00174FA0" w:rsidRPr="001F53B2" w:rsidRDefault="00174FA0" w:rsidP="001F53B2">
            <w:pPr>
              <w:pStyle w:val="western"/>
              <w:spacing w:before="0" w:beforeAutospacing="0" w:after="240" w:afterAutospacing="0" w:line="276" w:lineRule="auto"/>
              <w:jc w:val="both"/>
              <w:rPr>
                <w:rFonts w:asciiTheme="minorHAnsi" w:hAnsiTheme="minorHAnsi"/>
                <w:sz w:val="20"/>
                <w:szCs w:val="20"/>
              </w:rPr>
            </w:pPr>
            <w:r w:rsidRPr="001F53B2">
              <w:rPr>
                <w:rFonts w:asciiTheme="minorHAnsi" w:hAnsiTheme="minorHAnsi"/>
                <w:sz w:val="20"/>
                <w:szCs w:val="20"/>
              </w:rPr>
              <w:t>Α) Οι εργοδότες που απασχολούν από 10 και πάνω εργαζόμενους μπορούν να δέχονται μαθητευόμενους που αντιστοιχούν στο 17% των εργαζομένων εξαρτημένης εργασίας με ανώτατο όριο τα 40 άτομα σε κάθε περίπτωση, αν ο αριθμός που προκύπτει από την ποσόστωση είναι μεγαλύτερος.</w:t>
            </w:r>
          </w:p>
          <w:p w:rsidR="00174FA0" w:rsidRPr="001B4D25" w:rsidRDefault="00174FA0" w:rsidP="001F53B2">
            <w:pPr>
              <w:pStyle w:val="western"/>
              <w:spacing w:before="0" w:beforeAutospacing="0" w:after="240" w:afterAutospacing="0" w:line="276" w:lineRule="auto"/>
              <w:jc w:val="both"/>
              <w:rPr>
                <w:rFonts w:asciiTheme="minorHAnsi" w:hAnsiTheme="minorHAnsi" w:cs="Arial"/>
                <w:sz w:val="20"/>
                <w:szCs w:val="22"/>
              </w:rPr>
            </w:pPr>
            <w:r w:rsidRPr="001F53B2">
              <w:rPr>
                <w:rFonts w:asciiTheme="minorHAnsi" w:hAnsiTheme="minorHAnsi"/>
                <w:sz w:val="20"/>
                <w:szCs w:val="20"/>
              </w:rPr>
              <w:t>Β) Οι εργοδότες που απασχολούν πάνω 250 εργαζόμενους μπορούν να δέχονται μαθητευόμενους που αντιστοιχούν στο 17% των εργαζομένων εξαρτημένης εργασίας με ανώτατο όριο τα 40 άτομα ανά υποκατάστημα σε κάθε περίπτωση, αν ο αριθμός που προκύπτει από την ποσόστωση είναι μεγαλύτερος.</w:t>
            </w:r>
          </w:p>
        </w:tc>
      </w:tr>
    </w:tbl>
    <w:p w:rsidR="00174FA0" w:rsidRDefault="00174FA0" w:rsidP="00174FA0">
      <w:pPr>
        <w:jc w:val="both"/>
        <w:rPr>
          <w:lang w:val="el-GR"/>
        </w:rPr>
      </w:pPr>
    </w:p>
    <w:p w:rsidR="00A17740" w:rsidRPr="00A17740" w:rsidRDefault="00A17740" w:rsidP="004A1775">
      <w:pPr>
        <w:pStyle w:val="a3"/>
        <w:numPr>
          <w:ilvl w:val="0"/>
          <w:numId w:val="7"/>
        </w:numPr>
        <w:ind w:left="-284"/>
        <w:rPr>
          <w:b/>
          <w:lang w:val="el-GR"/>
        </w:rPr>
      </w:pPr>
      <w:r w:rsidRPr="00A17740">
        <w:rPr>
          <w:b/>
          <w:lang w:val="el-GR"/>
        </w:rPr>
        <w:t>Ποια είναι η πορεία του «</w:t>
      </w:r>
      <w:r w:rsidR="004A1775" w:rsidRPr="004A1775">
        <w:rPr>
          <w:b/>
          <w:lang w:val="el-GR"/>
        </w:rPr>
        <w:t>Μεταλυκειακό Έτος – Τάξη Μαθητείας των ΕΠΑΛ</w:t>
      </w:r>
      <w:r w:rsidRPr="00A17740">
        <w:rPr>
          <w:b/>
          <w:lang w:val="el-GR"/>
        </w:rPr>
        <w:t>»</w:t>
      </w:r>
      <w:r w:rsidR="007D5738">
        <w:rPr>
          <w:b/>
          <w:lang w:val="el-GR"/>
        </w:rPr>
        <w:t xml:space="preserve"> στην Ελλάδα</w:t>
      </w:r>
      <w:r w:rsidRPr="00A17740">
        <w:rPr>
          <w:b/>
          <w:lang w:val="el-GR"/>
        </w:rPr>
        <w:t>;</w:t>
      </w:r>
    </w:p>
    <w:p w:rsidR="00A17740" w:rsidRPr="004A214C" w:rsidRDefault="00A17740" w:rsidP="00A17740">
      <w:pPr>
        <w:jc w:val="both"/>
        <w:rPr>
          <w:lang w:val="el-GR"/>
        </w:rPr>
      </w:pPr>
      <w:r>
        <w:rPr>
          <w:lang w:val="el-GR"/>
        </w:rPr>
        <w:t xml:space="preserve">Το «Μεταλυκειακό Έτος – Τάξη Μαθητείας των ΕΠΑΛ» ξεκίνησε το 2017 και φέτος υλοποιείται η Δ΄Φάση Εφαρμογής του. Είναι ένας εξαιρετικά πετυχημένος θεσμός με αυξανόμενη αποδοχή τόσο από τους μαθητευόμενους όσο και από τις επιχειρήσεις. Μάλιστα, σύμφωνα με το </w:t>
      </w:r>
      <w:hyperlink r:id="rId10" w:history="1">
        <w:r w:rsidRPr="00763A45">
          <w:rPr>
            <w:rStyle w:val="-"/>
            <w:lang w:val="el-GR"/>
          </w:rPr>
          <w:t>δελτίο τύπου</w:t>
        </w:r>
      </w:hyperlink>
      <w:r>
        <w:rPr>
          <w:lang w:val="el-GR"/>
        </w:rPr>
        <w:t xml:space="preserve"> που εξέδωσε το Υπουργείο Παιδείας και Θρησκευμάτων, </w:t>
      </w:r>
      <w:r w:rsidRPr="00763A45">
        <w:rPr>
          <w:lang w:val="el-GR"/>
        </w:rPr>
        <w:t>η Ευρωπαϊκή Επιτροπή</w:t>
      </w:r>
      <w:r>
        <w:rPr>
          <w:lang w:val="el-GR"/>
        </w:rPr>
        <w:t xml:space="preserve">, </w:t>
      </w:r>
      <w:r w:rsidRPr="00763A45">
        <w:rPr>
          <w:lang w:val="el-GR"/>
        </w:rPr>
        <w:t>στην ετήσια έκθεση για τα Διαρθρωτικά και Επενδυτικά Ταμεία</w:t>
      </w:r>
      <w:r>
        <w:rPr>
          <w:lang w:val="el-GR"/>
        </w:rPr>
        <w:t xml:space="preserve">, απέδωσε τα εύσημα στην Ελλάδα για το </w:t>
      </w:r>
      <w:r w:rsidRPr="00763A45">
        <w:rPr>
          <w:lang w:val="el-GR"/>
        </w:rPr>
        <w:t xml:space="preserve">«Μεταλυκειακό </w:t>
      </w:r>
      <w:r>
        <w:rPr>
          <w:lang w:val="el-GR"/>
        </w:rPr>
        <w:t>Έ</w:t>
      </w:r>
      <w:r w:rsidRPr="00763A45">
        <w:rPr>
          <w:lang w:val="el-GR"/>
        </w:rPr>
        <w:t>τος - Τάξη μαθητείας</w:t>
      </w:r>
      <w:r>
        <w:rPr>
          <w:lang w:val="el-GR"/>
        </w:rPr>
        <w:t xml:space="preserve"> των ΕΠΑΛ</w:t>
      </w:r>
      <w:r w:rsidRPr="00763A45">
        <w:rPr>
          <w:lang w:val="el-GR"/>
        </w:rPr>
        <w:t>»</w:t>
      </w:r>
      <w:r>
        <w:rPr>
          <w:lang w:val="el-GR"/>
        </w:rPr>
        <w:t>, παραθέτοντας το</w:t>
      </w:r>
      <w:r w:rsidRPr="00763A45">
        <w:rPr>
          <w:lang w:val="el-GR"/>
        </w:rPr>
        <w:t xml:space="preserve"> ως το παράδειγμα καλής πρακτικής του Ευρωπαϊκού Κοινωνικού Ταμείου (ΕΚΤ) </w:t>
      </w:r>
      <w:r>
        <w:rPr>
          <w:lang w:val="el-GR"/>
        </w:rPr>
        <w:t xml:space="preserve">τόσο σε εθνικό </w:t>
      </w:r>
      <w:r w:rsidRPr="00763A45">
        <w:rPr>
          <w:lang w:val="el-GR"/>
        </w:rPr>
        <w:t>(</w:t>
      </w:r>
      <w:hyperlink r:id="rId11" w:history="1">
        <w:r w:rsidRPr="00E06B18">
          <w:rPr>
            <w:rStyle w:val="-"/>
            <w:lang w:val="el-GR"/>
          </w:rPr>
          <w:t>factsheet_el</w:t>
        </w:r>
      </w:hyperlink>
      <w:r w:rsidRPr="00763A45">
        <w:rPr>
          <w:lang w:val="el-GR"/>
        </w:rPr>
        <w:t>) όσο και σε ευρωπαϊκό επίπεδο (</w:t>
      </w:r>
      <w:hyperlink r:id="rId12" w:history="1">
        <w:r w:rsidRPr="00E06B18">
          <w:rPr>
            <w:rStyle w:val="-"/>
            <w:lang w:val="el-GR"/>
          </w:rPr>
          <w:t>factsheet_eu</w:t>
        </w:r>
      </w:hyperlink>
      <w:r w:rsidRPr="00763A45">
        <w:rPr>
          <w:lang w:val="el-GR"/>
        </w:rPr>
        <w:t>)</w:t>
      </w:r>
      <w:r>
        <w:rPr>
          <w:lang w:val="el-GR"/>
        </w:rPr>
        <w:t xml:space="preserve"> και </w:t>
      </w:r>
      <w:r w:rsidR="00774B44">
        <w:rPr>
          <w:lang w:val="el-GR"/>
        </w:rPr>
        <w:t>χαρακτήρισε</w:t>
      </w:r>
      <w:r>
        <w:rPr>
          <w:lang w:val="el-GR"/>
        </w:rPr>
        <w:t xml:space="preserve"> τη </w:t>
      </w:r>
      <w:r w:rsidRPr="004A214C">
        <w:rPr>
          <w:lang w:val="el-GR"/>
        </w:rPr>
        <w:t xml:space="preserve">διάδοση των προγραμμάτων μαθητείας σε όλη τη χώρα ως πορεία προς την αριστεία. </w:t>
      </w:r>
    </w:p>
    <w:p w:rsidR="00214C8F" w:rsidRPr="00214C8F" w:rsidRDefault="00214C8F" w:rsidP="00214C8F">
      <w:pPr>
        <w:pStyle w:val="a3"/>
        <w:numPr>
          <w:ilvl w:val="0"/>
          <w:numId w:val="7"/>
        </w:numPr>
        <w:ind w:left="-284"/>
        <w:rPr>
          <w:b/>
          <w:lang w:val="el-GR"/>
        </w:rPr>
      </w:pPr>
      <w:r w:rsidRPr="00214C8F">
        <w:rPr>
          <w:b/>
          <w:lang w:val="el-GR"/>
        </w:rPr>
        <w:t>Ποια είναι η πορεία του «Μεταλυκειακό Έτος – Τάξη Μαθητείας των ΕΠΑΛ»</w:t>
      </w:r>
      <w:r w:rsidR="009402AE">
        <w:rPr>
          <w:b/>
          <w:lang w:val="el-GR"/>
        </w:rPr>
        <w:t xml:space="preserve"> στα Χανιά</w:t>
      </w:r>
    </w:p>
    <w:p w:rsidR="00214C8F" w:rsidRDefault="00774B44" w:rsidP="00214C8F">
      <w:pPr>
        <w:pStyle w:val="a3"/>
        <w:ind w:left="0"/>
        <w:jc w:val="both"/>
        <w:rPr>
          <w:lang w:val="el-GR"/>
        </w:rPr>
      </w:pPr>
      <w:r w:rsidRPr="00214C8F">
        <w:rPr>
          <w:lang w:val="el-GR"/>
        </w:rPr>
        <w:t>Τα Χανιά «αγκάλιασαν» το θεσμό από την αρχή της λειτουργίας του το 2017 και έχουν συμβάλει τα μέγιστα στη ευρωπαϊκή διάκριση του θεσμού.</w:t>
      </w:r>
      <w:r w:rsidR="00214C8F">
        <w:rPr>
          <w:lang w:val="el-GR"/>
        </w:rPr>
        <w:t xml:space="preserve"> Τα σημαντικότερα επιτεύγματα σε τοπικό επίπεδο είναι:</w:t>
      </w:r>
    </w:p>
    <w:p w:rsidR="00214C8F" w:rsidRPr="00A05214" w:rsidRDefault="00214C8F" w:rsidP="006B0F16">
      <w:pPr>
        <w:pStyle w:val="a3"/>
        <w:numPr>
          <w:ilvl w:val="0"/>
          <w:numId w:val="8"/>
        </w:numPr>
        <w:ind w:left="426"/>
        <w:jc w:val="both"/>
        <w:rPr>
          <w:b/>
          <w:lang w:val="el-GR"/>
        </w:rPr>
      </w:pPr>
      <w:r w:rsidRPr="00A05214">
        <w:rPr>
          <w:b/>
          <w:lang w:val="el-GR"/>
        </w:rPr>
        <w:t>Η δημιουργία του «Γραφείου Υποστήριξης Μαθητείας των ΕΠΑΛ</w:t>
      </w:r>
      <w:r w:rsidR="00A05214">
        <w:rPr>
          <w:b/>
          <w:lang w:val="el-GR"/>
        </w:rPr>
        <w:t xml:space="preserve">της </w:t>
      </w:r>
      <w:r w:rsidRPr="00A05214">
        <w:rPr>
          <w:b/>
          <w:lang w:val="el-GR"/>
        </w:rPr>
        <w:t xml:space="preserve">ΔΔΕ Χανίων». </w:t>
      </w:r>
    </w:p>
    <w:p w:rsidR="00214C8F" w:rsidRDefault="00214C8F" w:rsidP="006B0F16">
      <w:pPr>
        <w:ind w:left="426"/>
        <w:jc w:val="both"/>
        <w:rPr>
          <w:lang w:val="el-GR"/>
        </w:rPr>
      </w:pPr>
      <w:r>
        <w:rPr>
          <w:lang w:val="el-GR"/>
        </w:rPr>
        <w:t xml:space="preserve">Ο  Δ/ντης Δ/θμιαςΕκπ/σης Χανίων κος </w:t>
      </w:r>
      <w:r w:rsidR="00A05214">
        <w:rPr>
          <w:lang w:val="el-GR"/>
        </w:rPr>
        <w:t xml:space="preserve">Σ. </w:t>
      </w:r>
      <w:r>
        <w:rPr>
          <w:lang w:val="el-GR"/>
        </w:rPr>
        <w:t xml:space="preserve">Ζερβάκης, </w:t>
      </w:r>
      <w:r w:rsidR="00A05214">
        <w:rPr>
          <w:lang w:val="el-GR"/>
        </w:rPr>
        <w:t>δια</w:t>
      </w:r>
      <w:r>
        <w:rPr>
          <w:lang w:val="el-GR"/>
        </w:rPr>
        <w:t xml:space="preserve">βλέποντας τις ανάγκες αλλά και τις προοπτικές του θεσμού, έκρινε αναγκαία την </w:t>
      </w:r>
      <w:r w:rsidR="00A05214">
        <w:rPr>
          <w:lang w:val="el-GR"/>
        </w:rPr>
        <w:t>ύπαρξη ατόμων που θα υποστηρίξουν τους υπόλοιπους εκπαιδευτικούς στο έργο τους</w:t>
      </w:r>
      <w:r w:rsidR="002B7C74">
        <w:rPr>
          <w:lang w:val="el-GR"/>
        </w:rPr>
        <w:t>,</w:t>
      </w:r>
      <w:r w:rsidR="00A05214">
        <w:rPr>
          <w:lang w:val="el-GR"/>
        </w:rPr>
        <w:t xml:space="preserve"> αλλά και που θα επιφορτιστούν με την ενημέρωση των εργοδοτών και των μαθητών της περιοχής. Έτσι, κατά τη Β΄ φάση εφαρμογής του θεσμού, δημιούργησε στη ΔΔΕ Χανίων το </w:t>
      </w:r>
      <w:r w:rsidR="00A05214" w:rsidRPr="00A05214">
        <w:rPr>
          <w:lang w:val="el-GR"/>
        </w:rPr>
        <w:t>«Γραφείου Υποστήριξης Μαθητείας των ΕΠΑΛ</w:t>
      </w:r>
      <w:r w:rsidR="00A05214">
        <w:rPr>
          <w:lang w:val="el-GR"/>
        </w:rPr>
        <w:t xml:space="preserve"> της </w:t>
      </w:r>
      <w:r w:rsidR="00A05214" w:rsidRPr="00A05214">
        <w:rPr>
          <w:lang w:val="el-GR"/>
        </w:rPr>
        <w:t>Δ</w:t>
      </w:r>
      <w:r w:rsidR="00A05214">
        <w:rPr>
          <w:lang w:val="el-GR"/>
        </w:rPr>
        <w:t>ΔΕ Χανίων», το οποίο λειτούργησε ως κανάλι επικοινωνίας μεταξύ του υπουργείου, των σχολείων και των εργοδοτών. Με αυτό τον τρόπο τα προβλήματα που παρουσιάζονταν επιλύονταν με γρήγορο και αποτελεσματικό τρόπο</w:t>
      </w:r>
      <w:r w:rsidR="002B7C74">
        <w:rPr>
          <w:lang w:val="el-GR"/>
        </w:rPr>
        <w:t>,</w:t>
      </w:r>
      <w:r w:rsidR="00150070">
        <w:rPr>
          <w:lang w:val="el-GR"/>
        </w:rPr>
        <w:t xml:space="preserve"> δημιουργώντας έτσι μία θετική εικόνα του θεσμού στην Τοπική Κοινωνία. Επίσης, το γραφείο ανέλαβε την ενημέρωση των εργοδοτών, σε προσωπικό επίπεδο, δημιουργώντας ένα κλίμα εμπιστοσύνης προς το θεσμό</w:t>
      </w:r>
      <w:r w:rsidR="00AD29E5" w:rsidRPr="00AD29E5">
        <w:rPr>
          <w:lang w:val="el-GR"/>
        </w:rPr>
        <w:t xml:space="preserve">, </w:t>
      </w:r>
      <w:r w:rsidR="00AD29E5">
        <w:rPr>
          <w:lang w:val="el-GR"/>
        </w:rPr>
        <w:t>πετυχαίνοντας έτσι θεαματικά αποτελέσματα ως προς τις προσφερόμενες θέσεις. Ακόμα, μέσα από τις δράσεις ενημέρωσης των μαθητών που υλοποιεί</w:t>
      </w:r>
      <w:r w:rsidR="002B7C74">
        <w:rPr>
          <w:lang w:val="el-GR"/>
        </w:rPr>
        <w:t>,</w:t>
      </w:r>
      <w:r w:rsidR="00AD29E5">
        <w:rPr>
          <w:lang w:val="el-GR"/>
        </w:rPr>
        <w:t xml:space="preserve"> έχει συμβάλει στη συνεχώς αυξανόμεν</w:t>
      </w:r>
      <w:r w:rsidR="002B7C74">
        <w:rPr>
          <w:lang w:val="el-GR"/>
        </w:rPr>
        <w:t>ησυμμετοχή</w:t>
      </w:r>
      <w:r w:rsidR="00AD29E5">
        <w:rPr>
          <w:lang w:val="el-GR"/>
        </w:rPr>
        <w:t xml:space="preserve"> τους </w:t>
      </w:r>
      <w:r w:rsidR="003F12D3">
        <w:rPr>
          <w:lang w:val="el-GR"/>
        </w:rPr>
        <w:t>στο πρόγραμμα</w:t>
      </w:r>
      <w:r w:rsidR="00AD29E5">
        <w:rPr>
          <w:lang w:val="el-GR"/>
        </w:rPr>
        <w:t xml:space="preserve">.  </w:t>
      </w:r>
      <w:r w:rsidR="002B7C74">
        <w:rPr>
          <w:lang w:val="el-GR"/>
        </w:rPr>
        <w:t xml:space="preserve">Ήταν τόσο μεγάλη η επιτυχία του </w:t>
      </w:r>
      <w:r w:rsidR="002B7C74" w:rsidRPr="00A05214">
        <w:rPr>
          <w:b/>
          <w:lang w:val="el-GR"/>
        </w:rPr>
        <w:t>«Γραφείου Υποστήριξης Μαθητείας των ΕΠΑΛ</w:t>
      </w:r>
      <w:r w:rsidR="0039260E">
        <w:rPr>
          <w:b/>
          <w:lang w:val="el-GR"/>
        </w:rPr>
        <w:t xml:space="preserve"> </w:t>
      </w:r>
      <w:r w:rsidR="002B7C74">
        <w:rPr>
          <w:b/>
          <w:lang w:val="el-GR"/>
        </w:rPr>
        <w:t xml:space="preserve">της </w:t>
      </w:r>
      <w:r w:rsidR="002B7C74" w:rsidRPr="00A05214">
        <w:rPr>
          <w:b/>
          <w:lang w:val="el-GR"/>
        </w:rPr>
        <w:t>ΔΔΕ Χανίων»</w:t>
      </w:r>
      <w:r w:rsidR="002B7C74">
        <w:rPr>
          <w:b/>
          <w:lang w:val="el-GR"/>
        </w:rPr>
        <w:t xml:space="preserve">, </w:t>
      </w:r>
      <w:r w:rsidR="002B7C74">
        <w:rPr>
          <w:lang w:val="el-GR"/>
        </w:rPr>
        <w:t xml:space="preserve">ώστε </w:t>
      </w:r>
      <w:r w:rsidR="003F12D3">
        <w:rPr>
          <w:lang w:val="el-GR"/>
        </w:rPr>
        <w:t xml:space="preserve">στη συνέχεια </w:t>
      </w:r>
      <w:r w:rsidR="002B7C74">
        <w:rPr>
          <w:lang w:val="el-GR"/>
        </w:rPr>
        <w:t>το Υπουργείο Παιδείας θεσμοθέτησε την ύπαρξη Υπεύθυνου Μαθητείας σε όλες τις ΔΔΕ στην Ελλάδα.</w:t>
      </w:r>
    </w:p>
    <w:p w:rsidR="002B7C74" w:rsidRPr="002B7C74" w:rsidRDefault="002B7C74" w:rsidP="006B0F16">
      <w:pPr>
        <w:pStyle w:val="a3"/>
        <w:numPr>
          <w:ilvl w:val="0"/>
          <w:numId w:val="8"/>
        </w:numPr>
        <w:ind w:left="426"/>
        <w:jc w:val="both"/>
        <w:rPr>
          <w:b/>
          <w:lang w:val="el-GR"/>
        </w:rPr>
      </w:pPr>
      <w:r w:rsidRPr="002B7C74">
        <w:rPr>
          <w:b/>
          <w:lang w:val="el-GR"/>
        </w:rPr>
        <w:t>Η προσέλκυση εργοδοτών στο πρόγραμμα</w:t>
      </w:r>
      <w:r w:rsidR="00B9346A">
        <w:rPr>
          <w:b/>
          <w:lang w:val="el-GR"/>
        </w:rPr>
        <w:t>.</w:t>
      </w:r>
    </w:p>
    <w:p w:rsidR="00B9346A" w:rsidRPr="00B9346A" w:rsidRDefault="00B9346A" w:rsidP="00B9346A">
      <w:pPr>
        <w:ind w:left="360"/>
        <w:jc w:val="both"/>
        <w:rPr>
          <w:lang w:val="el-GR"/>
        </w:rPr>
      </w:pPr>
      <w:r w:rsidRPr="00B9346A">
        <w:rPr>
          <w:lang w:val="el-GR"/>
        </w:rPr>
        <w:t xml:space="preserve">Φέτος, κατά την Δ΄ Φάση εφαρμογής του προγράμματος, προσφέρθηκαν </w:t>
      </w:r>
      <w:r w:rsidRPr="00B9346A">
        <w:rPr>
          <w:b/>
          <w:lang w:val="el-GR"/>
        </w:rPr>
        <w:t>148 θέσεις από δημόσιους φορείς</w:t>
      </w:r>
      <w:r w:rsidRPr="00B9346A">
        <w:rPr>
          <w:lang w:val="el-GR"/>
        </w:rPr>
        <w:t xml:space="preserve"> και </w:t>
      </w:r>
      <w:r w:rsidRPr="00B9346A">
        <w:rPr>
          <w:b/>
          <w:lang w:val="el-GR"/>
        </w:rPr>
        <w:t>95 από ιδιωτικές επιχειρήσεις</w:t>
      </w:r>
      <w:r w:rsidRPr="00B9346A">
        <w:rPr>
          <w:lang w:val="el-GR"/>
        </w:rPr>
        <w:t>, που όπως φαίνεται και από τα διαγράμματα που ακολουθούν, είναι από τις περισσότερες που έχουν προσφερθεί πανελλαδικά. Αντίστοιχη εικόνα είχε επιτευχθεί και κατά τις 2 προηγούμενες φάσεις υλοποίησης.</w:t>
      </w:r>
    </w:p>
    <w:p w:rsidR="00B9346A" w:rsidRPr="00B9346A" w:rsidRDefault="00B9346A" w:rsidP="00B9346A">
      <w:pPr>
        <w:ind w:left="360"/>
        <w:jc w:val="center"/>
        <w:rPr>
          <w:lang w:val="el-GR"/>
        </w:rPr>
      </w:pPr>
    </w:p>
    <w:p w:rsidR="00B9346A" w:rsidRPr="00B9346A" w:rsidRDefault="00D822F2" w:rsidP="00B9346A">
      <w:pPr>
        <w:ind w:left="360"/>
        <w:jc w:val="both"/>
        <w:rPr>
          <w:lang w:val="el-GR"/>
        </w:rPr>
      </w:pPr>
      <w:r>
        <w:rPr>
          <w:noProof/>
          <w:lang w:val="el-GR" w:eastAsia="el-GR"/>
        </w:rPr>
        <w:drawing>
          <wp:anchor distT="0" distB="0" distL="114300" distR="114300" simplePos="0" relativeHeight="251661312" behindDoc="1" locked="0" layoutInCell="1" allowOverlap="1">
            <wp:simplePos x="0" y="0"/>
            <wp:positionH relativeFrom="column">
              <wp:posOffset>802640</wp:posOffset>
            </wp:positionH>
            <wp:positionV relativeFrom="paragraph">
              <wp:posOffset>115570</wp:posOffset>
            </wp:positionV>
            <wp:extent cx="4352290" cy="3656330"/>
            <wp:effectExtent l="0" t="0" r="0" b="1270"/>
            <wp:wrapTight wrapText="bothSides">
              <wp:wrapPolygon edited="0">
                <wp:start x="9738" y="225"/>
                <wp:lineTo x="8036" y="563"/>
                <wp:lineTo x="3782" y="1801"/>
                <wp:lineTo x="3782" y="2251"/>
                <wp:lineTo x="2931" y="2813"/>
                <wp:lineTo x="1607" y="3939"/>
                <wp:lineTo x="473" y="5852"/>
                <wp:lineTo x="95" y="7540"/>
                <wp:lineTo x="189" y="11254"/>
                <wp:lineTo x="473" y="13055"/>
                <wp:lineTo x="1229" y="14855"/>
                <wp:lineTo x="2836" y="16656"/>
                <wp:lineTo x="5389" y="18456"/>
                <wp:lineTo x="4633" y="20032"/>
                <wp:lineTo x="5105" y="21495"/>
                <wp:lineTo x="17207" y="21495"/>
                <wp:lineTo x="17585" y="20257"/>
                <wp:lineTo x="17963" y="20032"/>
                <wp:lineTo x="17680" y="19694"/>
                <wp:lineTo x="16167" y="18456"/>
                <wp:lineTo x="18530" y="16656"/>
                <wp:lineTo x="20138" y="14855"/>
                <wp:lineTo x="20894" y="13055"/>
                <wp:lineTo x="21178" y="11254"/>
                <wp:lineTo x="21367" y="4051"/>
                <wp:lineTo x="20421" y="2926"/>
                <wp:lineTo x="19665" y="2251"/>
                <wp:lineTo x="19760" y="1576"/>
                <wp:lineTo x="15978" y="675"/>
                <wp:lineTo x="11818" y="225"/>
                <wp:lineTo x="9738" y="22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4">
                              <a14:imgEffect>
                                <a14:backgroundRemoval t="0" b="100000" l="0" r="100000">
                                  <a14:foregroundMark x1="25119" y1="92960" x2="76786" y2="93863"/>
                                  <a14:foregroundMark x1="79286" y1="90794" x2="42024" y2="99639"/>
                                  <a14:foregroundMark x1="22857" y1="92058" x2="45238" y2="99278"/>
                                  <a14:foregroundMark x1="81786" y1="92419" x2="61429" y2="99639"/>
                                  <a14:foregroundMark x1="23929" y1="89892" x2="32857" y2="98736"/>
                                  <a14:foregroundMark x1="22976" y1="93502" x2="29048" y2="99639"/>
                                  <a14:foregroundMark x1="78929" y1="92058" x2="75714" y2="99819"/>
                                </a14:backgroundRemoval>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52290" cy="3656330"/>
                    </a:xfrm>
                    <a:prstGeom prst="rect">
                      <a:avLst/>
                    </a:prstGeom>
                  </pic:spPr>
                </pic:pic>
              </a:graphicData>
            </a:graphic>
          </wp:anchor>
        </w:drawing>
      </w:r>
    </w:p>
    <w:p w:rsidR="00B9346A" w:rsidRPr="00B9346A" w:rsidRDefault="00B9346A" w:rsidP="00B9346A">
      <w:pPr>
        <w:ind w:left="360"/>
        <w:jc w:val="both"/>
        <w:rPr>
          <w:lang w:val="el-GR"/>
        </w:rPr>
      </w:pPr>
    </w:p>
    <w:p w:rsidR="002B7C74" w:rsidRDefault="002B7C74" w:rsidP="00214C8F">
      <w:pPr>
        <w:ind w:left="720"/>
        <w:jc w:val="both"/>
        <w:rPr>
          <w:lang w:val="el-GR"/>
        </w:rPr>
      </w:pPr>
    </w:p>
    <w:p w:rsidR="00B9346A" w:rsidRDefault="00B9346A" w:rsidP="00214C8F">
      <w:pPr>
        <w:ind w:left="720"/>
        <w:jc w:val="both"/>
        <w:rPr>
          <w:lang w:val="el-GR"/>
        </w:rPr>
      </w:pPr>
    </w:p>
    <w:p w:rsidR="00B9346A" w:rsidRDefault="00B9346A" w:rsidP="00214C8F">
      <w:pPr>
        <w:ind w:left="720"/>
        <w:jc w:val="both"/>
        <w:rPr>
          <w:lang w:val="el-GR"/>
        </w:rPr>
      </w:pPr>
    </w:p>
    <w:p w:rsidR="00B9346A" w:rsidRDefault="00B9346A" w:rsidP="00214C8F">
      <w:pPr>
        <w:ind w:left="720"/>
        <w:jc w:val="both"/>
        <w:rPr>
          <w:lang w:val="el-GR"/>
        </w:rPr>
      </w:pPr>
    </w:p>
    <w:p w:rsidR="00B9346A" w:rsidRDefault="00B9346A" w:rsidP="00214C8F">
      <w:pPr>
        <w:ind w:left="720"/>
        <w:jc w:val="both"/>
        <w:rPr>
          <w:lang w:val="el-GR"/>
        </w:rPr>
      </w:pPr>
    </w:p>
    <w:p w:rsidR="006B0F16" w:rsidRDefault="006B0F16" w:rsidP="00214C8F">
      <w:pPr>
        <w:ind w:left="720"/>
        <w:jc w:val="both"/>
        <w:rPr>
          <w:lang w:val="el-GR"/>
        </w:rPr>
      </w:pPr>
    </w:p>
    <w:p w:rsidR="006B0F16" w:rsidRDefault="006B0F16" w:rsidP="00214C8F">
      <w:pPr>
        <w:ind w:left="720"/>
        <w:jc w:val="both"/>
        <w:rPr>
          <w:lang w:val="el-GR"/>
        </w:rPr>
      </w:pPr>
    </w:p>
    <w:p w:rsidR="006B0F16" w:rsidRDefault="006B0F16" w:rsidP="00214C8F">
      <w:pPr>
        <w:ind w:left="720"/>
        <w:jc w:val="both"/>
        <w:rPr>
          <w:lang w:val="el-GR"/>
        </w:rPr>
      </w:pPr>
    </w:p>
    <w:p w:rsidR="006B0F16" w:rsidRPr="005B6E20" w:rsidRDefault="006B0F16" w:rsidP="00214C8F">
      <w:pPr>
        <w:ind w:left="720"/>
        <w:jc w:val="both"/>
        <w:rPr>
          <w:lang w:val="el-GR"/>
        </w:rPr>
      </w:pPr>
    </w:p>
    <w:p w:rsidR="006B0F16" w:rsidRDefault="006B0F16" w:rsidP="00214C8F">
      <w:pPr>
        <w:ind w:left="720"/>
        <w:jc w:val="both"/>
        <w:rPr>
          <w:lang w:val="el-GR"/>
        </w:rPr>
      </w:pPr>
    </w:p>
    <w:p w:rsidR="006B0F16" w:rsidRDefault="006B0F16" w:rsidP="00214C8F">
      <w:pPr>
        <w:ind w:left="720"/>
        <w:jc w:val="both"/>
        <w:rPr>
          <w:lang w:val="el-GR"/>
        </w:rPr>
      </w:pPr>
    </w:p>
    <w:p w:rsidR="006B0F16" w:rsidRPr="005B6E20" w:rsidRDefault="006B0F16" w:rsidP="00214C8F">
      <w:pPr>
        <w:ind w:left="720"/>
        <w:jc w:val="both"/>
        <w:rPr>
          <w:lang w:val="el-GR"/>
        </w:rPr>
      </w:pPr>
    </w:p>
    <w:p w:rsidR="005B1E2B" w:rsidRPr="005B6E20" w:rsidRDefault="005B1E2B" w:rsidP="00214C8F">
      <w:pPr>
        <w:ind w:left="720"/>
        <w:jc w:val="both"/>
        <w:rPr>
          <w:lang w:val="el-GR"/>
        </w:rPr>
      </w:pPr>
    </w:p>
    <w:p w:rsidR="005B1E2B" w:rsidRPr="005B6E20" w:rsidRDefault="003B0558" w:rsidP="00214C8F">
      <w:pPr>
        <w:ind w:left="720"/>
        <w:jc w:val="both"/>
        <w:rPr>
          <w:lang w:val="el-GR"/>
        </w:rPr>
      </w:pPr>
      <w:r>
        <w:rPr>
          <w:noProof/>
          <w:lang w:val="el-GR" w:eastAsia="el-GR"/>
        </w:rPr>
        <w:drawing>
          <wp:anchor distT="0" distB="0" distL="114300" distR="114300" simplePos="0" relativeHeight="251660288" behindDoc="1" locked="0" layoutInCell="1" allowOverlap="1">
            <wp:simplePos x="0" y="0"/>
            <wp:positionH relativeFrom="column">
              <wp:posOffset>247650</wp:posOffset>
            </wp:positionH>
            <wp:positionV relativeFrom="paragraph">
              <wp:posOffset>-508000</wp:posOffset>
            </wp:positionV>
            <wp:extent cx="5010785" cy="5632450"/>
            <wp:effectExtent l="0" t="0" r="0" b="6350"/>
            <wp:wrapTight wrapText="bothSides">
              <wp:wrapPolygon edited="0">
                <wp:start x="0" y="0"/>
                <wp:lineTo x="0" y="21551"/>
                <wp:lineTo x="21515" y="21551"/>
                <wp:lineTo x="2151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Διάγραμμα Θέσεις Δημοσίου.png"/>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10785" cy="5632450"/>
                    </a:xfrm>
                    <a:prstGeom prst="rect">
                      <a:avLst/>
                    </a:prstGeom>
                  </pic:spPr>
                </pic:pic>
              </a:graphicData>
            </a:graphic>
          </wp:anchor>
        </w:drawing>
      </w:r>
    </w:p>
    <w:p w:rsidR="005B1E2B" w:rsidRPr="005B6E20" w:rsidRDefault="005B1E2B" w:rsidP="00214C8F">
      <w:pPr>
        <w:ind w:left="720"/>
        <w:jc w:val="both"/>
        <w:rPr>
          <w:lang w:val="el-GR"/>
        </w:rPr>
      </w:pPr>
    </w:p>
    <w:p w:rsidR="005B1E2B" w:rsidRPr="005B6E20" w:rsidRDefault="005B1E2B" w:rsidP="00214C8F">
      <w:pPr>
        <w:ind w:left="720"/>
        <w:jc w:val="both"/>
        <w:rPr>
          <w:lang w:val="el-GR"/>
        </w:rPr>
      </w:pPr>
    </w:p>
    <w:p w:rsidR="005B1E2B" w:rsidRPr="005B6E20" w:rsidRDefault="005B1E2B" w:rsidP="00214C8F">
      <w:pPr>
        <w:ind w:left="720"/>
        <w:jc w:val="both"/>
        <w:rPr>
          <w:lang w:val="el-GR"/>
        </w:rPr>
      </w:pPr>
    </w:p>
    <w:p w:rsidR="005B1E2B" w:rsidRPr="005B6E20" w:rsidRDefault="005B1E2B" w:rsidP="00214C8F">
      <w:pPr>
        <w:ind w:left="720"/>
        <w:jc w:val="both"/>
        <w:rPr>
          <w:lang w:val="el-GR"/>
        </w:rPr>
      </w:pPr>
    </w:p>
    <w:p w:rsidR="005B1E2B" w:rsidRPr="005B6E20" w:rsidRDefault="005B1E2B" w:rsidP="00214C8F">
      <w:pPr>
        <w:ind w:left="720"/>
        <w:jc w:val="both"/>
        <w:rPr>
          <w:lang w:val="el-GR"/>
        </w:rPr>
      </w:pPr>
    </w:p>
    <w:p w:rsidR="005B1E2B" w:rsidRPr="005B6E20" w:rsidRDefault="005B1E2B" w:rsidP="00214C8F">
      <w:pPr>
        <w:ind w:left="720"/>
        <w:jc w:val="both"/>
        <w:rPr>
          <w:lang w:val="el-GR"/>
        </w:rPr>
      </w:pPr>
    </w:p>
    <w:p w:rsidR="005B1E2B" w:rsidRPr="005B6E20" w:rsidRDefault="005B1E2B" w:rsidP="00214C8F">
      <w:pPr>
        <w:ind w:left="720"/>
        <w:jc w:val="both"/>
        <w:rPr>
          <w:lang w:val="el-GR"/>
        </w:rPr>
      </w:pPr>
    </w:p>
    <w:p w:rsidR="005B1E2B" w:rsidRPr="005B6E20" w:rsidRDefault="005B1E2B" w:rsidP="00214C8F">
      <w:pPr>
        <w:ind w:left="720"/>
        <w:jc w:val="both"/>
        <w:rPr>
          <w:lang w:val="el-GR"/>
        </w:rPr>
      </w:pPr>
    </w:p>
    <w:p w:rsidR="005B1E2B" w:rsidRPr="005B6E20" w:rsidRDefault="005B1E2B" w:rsidP="00214C8F">
      <w:pPr>
        <w:ind w:left="720"/>
        <w:jc w:val="both"/>
        <w:rPr>
          <w:lang w:val="el-GR"/>
        </w:rPr>
      </w:pPr>
    </w:p>
    <w:p w:rsidR="00F313AE" w:rsidRPr="005B6E20" w:rsidRDefault="00F313AE" w:rsidP="00214C8F">
      <w:pPr>
        <w:ind w:left="720"/>
        <w:jc w:val="both"/>
        <w:rPr>
          <w:lang w:val="el-GR"/>
        </w:rPr>
      </w:pPr>
    </w:p>
    <w:p w:rsidR="003B0558" w:rsidRPr="005B6E20" w:rsidRDefault="003B0558" w:rsidP="00214C8F">
      <w:pPr>
        <w:ind w:left="720"/>
        <w:jc w:val="both"/>
        <w:rPr>
          <w:lang w:val="el-GR"/>
        </w:rPr>
      </w:pPr>
    </w:p>
    <w:p w:rsidR="00F313AE" w:rsidRPr="005B6E20" w:rsidRDefault="00F313AE" w:rsidP="00214C8F">
      <w:pPr>
        <w:ind w:left="720"/>
        <w:jc w:val="both"/>
        <w:rPr>
          <w:lang w:val="el-GR"/>
        </w:rPr>
      </w:pPr>
    </w:p>
    <w:p w:rsidR="003B0558" w:rsidRPr="005B6E20" w:rsidRDefault="003B0558" w:rsidP="00214C8F">
      <w:pPr>
        <w:ind w:left="720"/>
        <w:jc w:val="both"/>
        <w:rPr>
          <w:lang w:val="el-GR"/>
        </w:rPr>
      </w:pPr>
    </w:p>
    <w:p w:rsidR="003B0558" w:rsidRPr="005B6E20" w:rsidRDefault="003B0558" w:rsidP="00214C8F">
      <w:pPr>
        <w:ind w:left="720"/>
        <w:jc w:val="both"/>
        <w:rPr>
          <w:lang w:val="el-GR"/>
        </w:rPr>
      </w:pPr>
    </w:p>
    <w:p w:rsidR="00F313AE" w:rsidRPr="005B6E20" w:rsidRDefault="00F313AE" w:rsidP="00214C8F">
      <w:pPr>
        <w:ind w:left="720"/>
        <w:jc w:val="both"/>
        <w:rPr>
          <w:lang w:val="el-GR"/>
        </w:rPr>
      </w:pPr>
    </w:p>
    <w:p w:rsidR="00B9346A" w:rsidRDefault="00B9346A" w:rsidP="006B0F16">
      <w:pPr>
        <w:pStyle w:val="a3"/>
        <w:numPr>
          <w:ilvl w:val="0"/>
          <w:numId w:val="8"/>
        </w:numPr>
        <w:ind w:left="426"/>
        <w:jc w:val="both"/>
        <w:rPr>
          <w:b/>
          <w:lang w:val="el-GR"/>
        </w:rPr>
      </w:pPr>
      <w:r w:rsidRPr="00B9346A">
        <w:rPr>
          <w:b/>
          <w:lang w:val="el-GR"/>
        </w:rPr>
        <w:t>Η αύξηση των προσφερόμενων τμημάτων</w:t>
      </w:r>
    </w:p>
    <w:tbl>
      <w:tblPr>
        <w:tblStyle w:val="3-2"/>
        <w:tblpPr w:leftFromText="180" w:rightFromText="180" w:vertAnchor="text" w:horzAnchor="page" w:tblpX="929" w:tblpY="1504"/>
        <w:tblW w:w="5353" w:type="dxa"/>
        <w:tblLayout w:type="fixed"/>
        <w:tblLook w:val="04A0"/>
      </w:tblPr>
      <w:tblGrid>
        <w:gridCol w:w="1668"/>
        <w:gridCol w:w="1842"/>
        <w:gridCol w:w="1843"/>
      </w:tblGrid>
      <w:tr w:rsidR="005B1E2B" w:rsidTr="005B1E2B">
        <w:trPr>
          <w:cnfStyle w:val="100000000000"/>
        </w:trPr>
        <w:tc>
          <w:tcPr>
            <w:cnfStyle w:val="001000000000"/>
            <w:tcW w:w="1668" w:type="dxa"/>
          </w:tcPr>
          <w:p w:rsidR="00C270DD" w:rsidRPr="00C270DD" w:rsidRDefault="00C270DD" w:rsidP="005B1E2B">
            <w:pPr>
              <w:jc w:val="center"/>
              <w:rPr>
                <w:lang w:val="el-GR"/>
              </w:rPr>
            </w:pPr>
            <w:r w:rsidRPr="00C270DD">
              <w:rPr>
                <w:lang w:val="el-GR"/>
              </w:rPr>
              <w:t>Δ.Δ.Ε.</w:t>
            </w:r>
          </w:p>
        </w:tc>
        <w:tc>
          <w:tcPr>
            <w:tcW w:w="1842" w:type="dxa"/>
          </w:tcPr>
          <w:p w:rsidR="00C270DD" w:rsidRPr="00C270DD" w:rsidRDefault="00C270DD" w:rsidP="005B1E2B">
            <w:pPr>
              <w:ind w:left="34"/>
              <w:jc w:val="center"/>
              <w:cnfStyle w:val="100000000000"/>
              <w:rPr>
                <w:lang w:val="el-GR"/>
              </w:rPr>
            </w:pPr>
            <w:r w:rsidRPr="00C270DD">
              <w:rPr>
                <w:lang w:val="el-GR"/>
              </w:rPr>
              <w:t xml:space="preserve">Αρ. τμημάτων που προκηρύχθηκαν </w:t>
            </w:r>
          </w:p>
        </w:tc>
        <w:tc>
          <w:tcPr>
            <w:tcW w:w="1843" w:type="dxa"/>
          </w:tcPr>
          <w:p w:rsidR="00C270DD" w:rsidRPr="00C270DD" w:rsidRDefault="00C270DD" w:rsidP="005B1E2B">
            <w:pPr>
              <w:jc w:val="center"/>
              <w:cnfStyle w:val="100000000000"/>
              <w:rPr>
                <w:lang w:val="el-GR"/>
              </w:rPr>
            </w:pPr>
            <w:r w:rsidRPr="00C270DD">
              <w:rPr>
                <w:lang w:val="el-GR"/>
              </w:rPr>
              <w:t>Αρ. τμημάτων που λειτούργησαν</w:t>
            </w:r>
          </w:p>
        </w:tc>
      </w:tr>
      <w:tr w:rsidR="005B1E2B" w:rsidTr="005B1E2B">
        <w:trPr>
          <w:cnfStyle w:val="000000100000"/>
        </w:trPr>
        <w:tc>
          <w:tcPr>
            <w:cnfStyle w:val="001000000000"/>
            <w:tcW w:w="1668" w:type="dxa"/>
          </w:tcPr>
          <w:p w:rsidR="00C270DD" w:rsidRPr="00C270DD" w:rsidRDefault="00C270DD" w:rsidP="005B1E2B">
            <w:pPr>
              <w:jc w:val="both"/>
              <w:rPr>
                <w:lang w:val="el-GR"/>
              </w:rPr>
            </w:pPr>
            <w:r w:rsidRPr="00C270DD">
              <w:rPr>
                <w:lang w:val="el-GR"/>
              </w:rPr>
              <w:t>Ηρακλείου</w:t>
            </w:r>
          </w:p>
        </w:tc>
        <w:tc>
          <w:tcPr>
            <w:tcW w:w="1842" w:type="dxa"/>
          </w:tcPr>
          <w:p w:rsidR="00C270DD" w:rsidRPr="00C270DD" w:rsidRDefault="00C270DD" w:rsidP="00C270DD">
            <w:pPr>
              <w:ind w:left="360"/>
              <w:jc w:val="center"/>
              <w:cnfStyle w:val="000000100000"/>
              <w:rPr>
                <w:lang w:val="el-GR"/>
              </w:rPr>
            </w:pPr>
            <w:r w:rsidRPr="00C270DD">
              <w:rPr>
                <w:lang w:val="el-GR"/>
              </w:rPr>
              <w:t>11</w:t>
            </w:r>
          </w:p>
        </w:tc>
        <w:tc>
          <w:tcPr>
            <w:tcW w:w="1843" w:type="dxa"/>
          </w:tcPr>
          <w:p w:rsidR="00C270DD" w:rsidRPr="00C270DD" w:rsidRDefault="00C270DD" w:rsidP="00C270DD">
            <w:pPr>
              <w:ind w:left="360"/>
              <w:jc w:val="center"/>
              <w:cnfStyle w:val="000000100000"/>
              <w:rPr>
                <w:lang w:val="el-GR"/>
              </w:rPr>
            </w:pPr>
            <w:r w:rsidRPr="00C270DD">
              <w:rPr>
                <w:lang w:val="el-GR"/>
              </w:rPr>
              <w:t>7</w:t>
            </w:r>
          </w:p>
        </w:tc>
      </w:tr>
      <w:tr w:rsidR="005B1E2B" w:rsidTr="005B1E2B">
        <w:tc>
          <w:tcPr>
            <w:cnfStyle w:val="001000000000"/>
            <w:tcW w:w="1668" w:type="dxa"/>
          </w:tcPr>
          <w:p w:rsidR="00C270DD" w:rsidRPr="00C270DD" w:rsidRDefault="00C270DD" w:rsidP="005B1E2B">
            <w:pPr>
              <w:jc w:val="both"/>
              <w:rPr>
                <w:lang w:val="el-GR"/>
              </w:rPr>
            </w:pPr>
            <w:r w:rsidRPr="00C270DD">
              <w:rPr>
                <w:lang w:val="el-GR"/>
              </w:rPr>
              <w:t>Λασιθίου</w:t>
            </w:r>
          </w:p>
        </w:tc>
        <w:tc>
          <w:tcPr>
            <w:tcW w:w="1842" w:type="dxa"/>
          </w:tcPr>
          <w:p w:rsidR="00C270DD" w:rsidRPr="00C270DD" w:rsidRDefault="00C270DD" w:rsidP="00C270DD">
            <w:pPr>
              <w:ind w:left="360"/>
              <w:jc w:val="center"/>
              <w:cnfStyle w:val="000000000000"/>
              <w:rPr>
                <w:lang w:val="el-GR"/>
              </w:rPr>
            </w:pPr>
            <w:r w:rsidRPr="00C270DD">
              <w:rPr>
                <w:lang w:val="el-GR"/>
              </w:rPr>
              <w:t>4</w:t>
            </w:r>
          </w:p>
        </w:tc>
        <w:tc>
          <w:tcPr>
            <w:tcW w:w="1843" w:type="dxa"/>
          </w:tcPr>
          <w:p w:rsidR="00C270DD" w:rsidRPr="00C270DD" w:rsidRDefault="00C270DD" w:rsidP="00C270DD">
            <w:pPr>
              <w:ind w:left="360"/>
              <w:jc w:val="center"/>
              <w:cnfStyle w:val="000000000000"/>
              <w:rPr>
                <w:lang w:val="el-GR"/>
              </w:rPr>
            </w:pPr>
            <w:r w:rsidRPr="00C270DD">
              <w:rPr>
                <w:lang w:val="el-GR"/>
              </w:rPr>
              <w:t>1</w:t>
            </w:r>
          </w:p>
        </w:tc>
      </w:tr>
      <w:tr w:rsidR="005B1E2B" w:rsidTr="005B1E2B">
        <w:trPr>
          <w:cnfStyle w:val="000000100000"/>
        </w:trPr>
        <w:tc>
          <w:tcPr>
            <w:cnfStyle w:val="001000000000"/>
            <w:tcW w:w="1668" w:type="dxa"/>
          </w:tcPr>
          <w:p w:rsidR="00C270DD" w:rsidRPr="00C270DD" w:rsidRDefault="00C270DD" w:rsidP="005B1E2B">
            <w:pPr>
              <w:jc w:val="both"/>
              <w:rPr>
                <w:lang w:val="el-GR"/>
              </w:rPr>
            </w:pPr>
            <w:r w:rsidRPr="00C270DD">
              <w:rPr>
                <w:lang w:val="el-GR"/>
              </w:rPr>
              <w:t>Ρεθύμνου</w:t>
            </w:r>
          </w:p>
        </w:tc>
        <w:tc>
          <w:tcPr>
            <w:tcW w:w="1842" w:type="dxa"/>
          </w:tcPr>
          <w:p w:rsidR="00C270DD" w:rsidRPr="00C270DD" w:rsidRDefault="00C270DD" w:rsidP="00C270DD">
            <w:pPr>
              <w:ind w:left="360"/>
              <w:jc w:val="center"/>
              <w:cnfStyle w:val="000000100000"/>
              <w:rPr>
                <w:lang w:val="el-GR"/>
              </w:rPr>
            </w:pPr>
            <w:r w:rsidRPr="00C270DD">
              <w:rPr>
                <w:lang w:val="el-GR"/>
              </w:rPr>
              <w:t>5</w:t>
            </w:r>
          </w:p>
        </w:tc>
        <w:tc>
          <w:tcPr>
            <w:tcW w:w="1843" w:type="dxa"/>
          </w:tcPr>
          <w:p w:rsidR="00C270DD" w:rsidRPr="00C270DD" w:rsidRDefault="00C270DD" w:rsidP="00C270DD">
            <w:pPr>
              <w:ind w:left="360"/>
              <w:jc w:val="center"/>
              <w:cnfStyle w:val="000000100000"/>
              <w:rPr>
                <w:lang w:val="el-GR"/>
              </w:rPr>
            </w:pPr>
            <w:r w:rsidRPr="00C270DD">
              <w:rPr>
                <w:lang w:val="el-GR"/>
              </w:rPr>
              <w:t>2</w:t>
            </w:r>
          </w:p>
        </w:tc>
      </w:tr>
      <w:tr w:rsidR="005B1E2B" w:rsidRPr="0016233B" w:rsidTr="005B1E2B">
        <w:tc>
          <w:tcPr>
            <w:cnfStyle w:val="001000000000"/>
            <w:tcW w:w="1668" w:type="dxa"/>
          </w:tcPr>
          <w:p w:rsidR="00C270DD" w:rsidRPr="00C270DD" w:rsidRDefault="00C270DD" w:rsidP="005B1E2B">
            <w:pPr>
              <w:jc w:val="both"/>
              <w:rPr>
                <w:lang w:val="el-GR"/>
              </w:rPr>
            </w:pPr>
            <w:r w:rsidRPr="00C270DD">
              <w:rPr>
                <w:lang w:val="el-GR"/>
              </w:rPr>
              <w:t>Χανίων</w:t>
            </w:r>
          </w:p>
        </w:tc>
        <w:tc>
          <w:tcPr>
            <w:tcW w:w="1842" w:type="dxa"/>
          </w:tcPr>
          <w:p w:rsidR="00C270DD" w:rsidRPr="00C270DD" w:rsidRDefault="00C270DD" w:rsidP="00C270DD">
            <w:pPr>
              <w:ind w:left="360"/>
              <w:jc w:val="center"/>
              <w:cnfStyle w:val="000000000000"/>
              <w:rPr>
                <w:lang w:val="el-GR"/>
              </w:rPr>
            </w:pPr>
            <w:r w:rsidRPr="00C270DD">
              <w:rPr>
                <w:lang w:val="el-GR"/>
              </w:rPr>
              <w:t>18</w:t>
            </w:r>
          </w:p>
        </w:tc>
        <w:tc>
          <w:tcPr>
            <w:tcW w:w="1843" w:type="dxa"/>
          </w:tcPr>
          <w:p w:rsidR="00C270DD" w:rsidRPr="00C270DD" w:rsidRDefault="00C270DD" w:rsidP="00C270DD">
            <w:pPr>
              <w:ind w:left="360"/>
              <w:jc w:val="center"/>
              <w:cnfStyle w:val="000000000000"/>
              <w:rPr>
                <w:lang w:val="el-GR"/>
              </w:rPr>
            </w:pPr>
            <w:r w:rsidRPr="00C270DD">
              <w:rPr>
                <w:lang w:val="el-GR"/>
              </w:rPr>
              <w:t>12</w:t>
            </w:r>
          </w:p>
        </w:tc>
      </w:tr>
      <w:tr w:rsidR="005B1E2B" w:rsidRPr="00C93D16" w:rsidTr="005B1E2B">
        <w:trPr>
          <w:cnfStyle w:val="000000100000"/>
        </w:trPr>
        <w:tc>
          <w:tcPr>
            <w:cnfStyle w:val="001000000000"/>
            <w:tcW w:w="1668" w:type="dxa"/>
          </w:tcPr>
          <w:p w:rsidR="00C270DD" w:rsidRPr="00C270DD" w:rsidRDefault="00C270DD" w:rsidP="005B1E2B">
            <w:pPr>
              <w:jc w:val="both"/>
              <w:rPr>
                <w:lang w:val="el-GR"/>
              </w:rPr>
            </w:pPr>
            <w:r w:rsidRPr="00C270DD">
              <w:rPr>
                <w:lang w:val="el-GR"/>
              </w:rPr>
              <w:t>Σύνολο Κρήτης</w:t>
            </w:r>
          </w:p>
        </w:tc>
        <w:tc>
          <w:tcPr>
            <w:tcW w:w="1842" w:type="dxa"/>
          </w:tcPr>
          <w:p w:rsidR="00C270DD" w:rsidRPr="00C270DD" w:rsidRDefault="00C270DD" w:rsidP="00C270DD">
            <w:pPr>
              <w:ind w:left="360"/>
              <w:jc w:val="center"/>
              <w:cnfStyle w:val="000000100000"/>
              <w:rPr>
                <w:b/>
                <w:color w:val="FFFFFF" w:themeColor="background1"/>
                <w:lang w:val="el-GR"/>
              </w:rPr>
            </w:pPr>
            <w:r w:rsidRPr="00C270DD">
              <w:rPr>
                <w:b/>
                <w:color w:val="FFFFFF" w:themeColor="background1"/>
                <w:lang w:val="el-GR"/>
              </w:rPr>
              <w:t>38</w:t>
            </w:r>
          </w:p>
        </w:tc>
        <w:tc>
          <w:tcPr>
            <w:tcW w:w="1843" w:type="dxa"/>
          </w:tcPr>
          <w:p w:rsidR="00C270DD" w:rsidRPr="00C270DD" w:rsidRDefault="00C270DD" w:rsidP="00C270DD">
            <w:pPr>
              <w:ind w:left="360"/>
              <w:jc w:val="center"/>
              <w:cnfStyle w:val="000000100000"/>
              <w:rPr>
                <w:b/>
                <w:color w:val="FFFFFF" w:themeColor="background1"/>
                <w:lang w:val="el-GR"/>
              </w:rPr>
            </w:pPr>
            <w:r w:rsidRPr="00C270DD">
              <w:rPr>
                <w:b/>
                <w:color w:val="FFFFFF" w:themeColor="background1"/>
                <w:lang w:val="el-GR"/>
              </w:rPr>
              <w:t>22</w:t>
            </w:r>
          </w:p>
        </w:tc>
      </w:tr>
    </w:tbl>
    <w:p w:rsidR="001B4D25" w:rsidRDefault="00C270DD" w:rsidP="00C270DD">
      <w:pPr>
        <w:ind w:left="360"/>
        <w:jc w:val="both"/>
        <w:rPr>
          <w:lang w:val="el-GR"/>
        </w:rPr>
      </w:pPr>
      <w:r>
        <w:rPr>
          <w:noProof/>
          <w:lang w:val="el-GR" w:eastAsia="el-GR"/>
        </w:rPr>
        <w:drawing>
          <wp:anchor distT="0" distB="0" distL="114300" distR="114300" simplePos="0" relativeHeight="251663360" behindDoc="1" locked="0" layoutInCell="1" allowOverlap="1">
            <wp:simplePos x="0" y="0"/>
            <wp:positionH relativeFrom="column">
              <wp:posOffset>3185795</wp:posOffset>
            </wp:positionH>
            <wp:positionV relativeFrom="paragraph">
              <wp:posOffset>645795</wp:posOffset>
            </wp:positionV>
            <wp:extent cx="2713355" cy="1754505"/>
            <wp:effectExtent l="38100" t="38100" r="86995" b="93345"/>
            <wp:wrapTight wrapText="bothSides">
              <wp:wrapPolygon edited="0">
                <wp:start x="0" y="-469"/>
                <wp:lineTo x="-303" y="-235"/>
                <wp:lineTo x="-303" y="21811"/>
                <wp:lineTo x="0" y="22515"/>
                <wp:lineTo x="21838" y="22515"/>
                <wp:lineTo x="21838" y="22280"/>
                <wp:lineTo x="22141" y="18762"/>
                <wp:lineTo x="22141" y="3518"/>
                <wp:lineTo x="21838" y="0"/>
                <wp:lineTo x="21838" y="-469"/>
                <wp:lineTo x="0" y="-469"/>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13355" cy="1754505"/>
                    </a:xfrm>
                    <a:prstGeom prst="rect">
                      <a:avLst/>
                    </a:prstGeom>
                    <a:effectLst>
                      <a:outerShdw blurRad="50800" dist="38100" dir="2700000" algn="tl" rotWithShape="0">
                        <a:prstClr val="black">
                          <a:alpha val="40000"/>
                        </a:prstClr>
                      </a:outerShdw>
                    </a:effectLst>
                  </pic:spPr>
                </pic:pic>
              </a:graphicData>
            </a:graphic>
          </wp:anchor>
        </w:drawing>
      </w:r>
      <w:r>
        <w:rPr>
          <w:lang w:val="el-GR"/>
        </w:rPr>
        <w:t xml:space="preserve">Τα προσφερόμενα τμήματα κάθε χρόνο έχουν μια σταθερά αυξανόμενη πορεία, καλύπτοντας φέτος σχεδόν το σύνολο των ειδικοτήτων των ΕΠΑΛ της ΔΔΕ Χανίων. </w:t>
      </w:r>
      <w:r w:rsidRPr="00C270DD">
        <w:rPr>
          <w:lang w:val="el-GR"/>
        </w:rPr>
        <w:t xml:space="preserve">Ο μεγάλος αριθμός θέσεων, </w:t>
      </w:r>
      <w:r>
        <w:rPr>
          <w:lang w:val="el-GR"/>
        </w:rPr>
        <w:t xml:space="preserve">οι οποίες μέσα από το συντονισμό που έγινε από το «Γραφείο Υποστήριξης Μαθητείας των ΕΠΑΛ της ΔΔΕ Χανίων» ήταν ορθολογικά </w:t>
      </w:r>
    </w:p>
    <w:p w:rsidR="00F313AE" w:rsidRPr="005B6E20" w:rsidRDefault="00F313AE" w:rsidP="00C270DD">
      <w:pPr>
        <w:ind w:left="360"/>
        <w:jc w:val="both"/>
        <w:rPr>
          <w:lang w:val="el-GR"/>
        </w:rPr>
      </w:pPr>
    </w:p>
    <w:p w:rsidR="00C270DD" w:rsidRPr="00C270DD" w:rsidRDefault="00844ABB" w:rsidP="00C270DD">
      <w:pPr>
        <w:ind w:left="360"/>
        <w:jc w:val="both"/>
        <w:rPr>
          <w:lang w:val="el-GR"/>
        </w:rPr>
      </w:pPr>
      <w:r>
        <w:rPr>
          <w:lang w:val="el-GR"/>
        </w:rPr>
        <w:t>κατανεμημένες ανά ειδικότητα,</w:t>
      </w:r>
      <w:r w:rsidR="001B4D25">
        <w:rPr>
          <w:lang w:val="el-GR"/>
        </w:rPr>
        <w:t xml:space="preserve">οδήγησε στην προκήρυξη τμημάτων </w:t>
      </w:r>
      <w:r w:rsidR="00C270DD" w:rsidRPr="00C270DD">
        <w:rPr>
          <w:lang w:val="el-GR"/>
        </w:rPr>
        <w:t>σε 18 ειδικότητες</w:t>
      </w:r>
      <w:r w:rsidR="001B4D25">
        <w:rPr>
          <w:lang w:val="el-GR"/>
        </w:rPr>
        <w:t>, προσελκύοντας αιτήσεις μαθητευόμενων όχι</w:t>
      </w:r>
      <w:r w:rsidR="00C270DD" w:rsidRPr="00C270DD">
        <w:rPr>
          <w:lang w:val="el-GR"/>
        </w:rPr>
        <w:t xml:space="preserve"> μόνο από τις άλλες ΔΔΕ της Κρήτης, αλλά και από την υπόλοιπη Ελλάδα. </w:t>
      </w:r>
    </w:p>
    <w:p w:rsidR="001B4D25" w:rsidRDefault="001B4D25" w:rsidP="006B0F16">
      <w:pPr>
        <w:pStyle w:val="a3"/>
        <w:numPr>
          <w:ilvl w:val="0"/>
          <w:numId w:val="8"/>
        </w:numPr>
        <w:ind w:left="426"/>
        <w:jc w:val="both"/>
        <w:rPr>
          <w:b/>
          <w:lang w:val="el-GR"/>
        </w:rPr>
      </w:pPr>
      <w:r w:rsidRPr="00B9346A">
        <w:rPr>
          <w:b/>
          <w:lang w:val="el-GR"/>
        </w:rPr>
        <w:t xml:space="preserve">Η αύξηση </w:t>
      </w:r>
      <w:r>
        <w:rPr>
          <w:b/>
          <w:lang w:val="el-GR"/>
        </w:rPr>
        <w:t>της συμμετοχής των μαθητών</w:t>
      </w:r>
    </w:p>
    <w:p w:rsidR="001B4D25" w:rsidRPr="001B4D25" w:rsidRDefault="001B4D25" w:rsidP="001B4D25">
      <w:pPr>
        <w:ind w:left="360"/>
        <w:jc w:val="both"/>
        <w:rPr>
          <w:lang w:val="el-GR"/>
        </w:rPr>
      </w:pPr>
      <w:r w:rsidRPr="001B4D25">
        <w:rPr>
          <w:lang w:val="el-GR"/>
        </w:rPr>
        <w:t>Επιπλέον, οι μαθητές</w:t>
      </w:r>
      <w:r w:rsidR="00917F24">
        <w:rPr>
          <w:lang w:val="el-GR"/>
        </w:rPr>
        <w:t>, όντας πιο ενημερωμένοι, και</w:t>
      </w:r>
      <w:r w:rsidRPr="001B4D25">
        <w:rPr>
          <w:lang w:val="el-GR"/>
        </w:rPr>
        <w:t xml:space="preserve"> αναγνωρίζοντας την επιτυχία και τα οφέλη του θεσμού</w:t>
      </w:r>
      <w:r w:rsidR="00917F24">
        <w:rPr>
          <w:lang w:val="el-GR"/>
        </w:rPr>
        <w:t>,</w:t>
      </w:r>
      <w:r w:rsidRPr="001B4D25">
        <w:rPr>
          <w:lang w:val="el-GR"/>
        </w:rPr>
        <w:t xml:space="preserve"> έχουν σταθερά αυξανόμενη συμμετοχή. Φέτος οι αιτήσεις των μαθητευόμενων παρουσίασαν </w:t>
      </w:r>
      <w:r w:rsidRPr="001B4D25">
        <w:rPr>
          <w:b/>
          <w:lang w:val="el-GR"/>
        </w:rPr>
        <w:t>αύξηση 23,8%</w:t>
      </w:r>
      <w:r w:rsidRPr="001B4D25">
        <w:rPr>
          <w:lang w:val="el-GR"/>
        </w:rPr>
        <w:t xml:space="preserve"> σε σχέση με πέρυσι. </w:t>
      </w:r>
    </w:p>
    <w:p w:rsidR="001B4D25" w:rsidRPr="00D822F2" w:rsidRDefault="001B4D25" w:rsidP="001B4D25">
      <w:pPr>
        <w:ind w:left="360"/>
        <w:jc w:val="both"/>
        <w:rPr>
          <w:lang w:val="el-GR"/>
        </w:rPr>
      </w:pPr>
      <w:r w:rsidRPr="001B4D25">
        <w:rPr>
          <w:lang w:val="el-GR"/>
        </w:rPr>
        <w:t xml:space="preserve">Τελικά, μετά την έγκριση λειτουργίας των τμημάτων από το ΥΠΑΙΘ, στη ΔΔΕ Χανίων, λειτούργησαν τα 12 από τα 22 τμήματα που λειτουργούν σε όλη την Κρήτη και εγγράφηκαν 129 μαθητευόμενοι (20 περισσότεροι από πέρυσι). </w:t>
      </w:r>
    </w:p>
    <w:p w:rsidR="00D822F2" w:rsidRPr="00D822F2" w:rsidRDefault="00D822F2" w:rsidP="001B4D25">
      <w:pPr>
        <w:ind w:left="360"/>
        <w:jc w:val="both"/>
        <w:rPr>
          <w:lang w:val="el-GR"/>
        </w:rPr>
      </w:pPr>
      <w:r>
        <w:rPr>
          <w:noProof/>
          <w:lang w:val="el-GR" w:eastAsia="el-GR"/>
        </w:rPr>
        <w:drawing>
          <wp:anchor distT="0" distB="0" distL="114300" distR="114300" simplePos="0" relativeHeight="251666432" behindDoc="1" locked="0" layoutInCell="1" allowOverlap="1">
            <wp:simplePos x="0" y="0"/>
            <wp:positionH relativeFrom="column">
              <wp:posOffset>174625</wp:posOffset>
            </wp:positionH>
            <wp:positionV relativeFrom="paragraph">
              <wp:posOffset>64135</wp:posOffset>
            </wp:positionV>
            <wp:extent cx="3659505" cy="2172335"/>
            <wp:effectExtent l="38100" t="38100" r="93345" b="94615"/>
            <wp:wrapTight wrapText="bothSides">
              <wp:wrapPolygon edited="0">
                <wp:start x="0" y="-379"/>
                <wp:lineTo x="-225" y="-189"/>
                <wp:lineTo x="-225" y="21783"/>
                <wp:lineTo x="0" y="22351"/>
                <wp:lineTo x="21814" y="22351"/>
                <wp:lineTo x="22039" y="21215"/>
                <wp:lineTo x="22039" y="2841"/>
                <wp:lineTo x="21814" y="0"/>
                <wp:lineTo x="21814" y="-379"/>
                <wp:lineTo x="0" y="-37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59505" cy="2172335"/>
                    </a:xfrm>
                    <a:prstGeom prst="rect">
                      <a:avLst/>
                    </a:prstGeom>
                    <a:effectLst>
                      <a:outerShdw blurRad="50800" dist="38100" dir="2700000" algn="tl" rotWithShape="0">
                        <a:prstClr val="black">
                          <a:alpha val="40000"/>
                        </a:prstClr>
                      </a:outerShdw>
                    </a:effectLst>
                  </pic:spPr>
                </pic:pic>
              </a:graphicData>
            </a:graphic>
          </wp:anchor>
        </w:drawing>
      </w:r>
    </w:p>
    <w:p w:rsidR="00D822F2" w:rsidRPr="00D822F2" w:rsidRDefault="00D822F2" w:rsidP="001B4D25">
      <w:pPr>
        <w:ind w:left="360"/>
        <w:jc w:val="both"/>
        <w:rPr>
          <w:lang w:val="el-GR"/>
        </w:rPr>
      </w:pPr>
    </w:p>
    <w:p w:rsidR="00D822F2" w:rsidRPr="00D822F2" w:rsidRDefault="00D822F2" w:rsidP="001B4D25">
      <w:pPr>
        <w:ind w:left="360"/>
        <w:jc w:val="both"/>
        <w:rPr>
          <w:lang w:val="el-GR"/>
        </w:rPr>
      </w:pPr>
    </w:p>
    <w:p w:rsidR="00D822F2" w:rsidRPr="00D822F2" w:rsidRDefault="00D822F2" w:rsidP="001B4D25">
      <w:pPr>
        <w:ind w:left="360"/>
        <w:jc w:val="both"/>
        <w:rPr>
          <w:lang w:val="el-GR"/>
        </w:rPr>
      </w:pPr>
    </w:p>
    <w:p w:rsidR="00D822F2" w:rsidRPr="00D822F2" w:rsidRDefault="00D822F2" w:rsidP="001B4D25">
      <w:pPr>
        <w:ind w:left="360"/>
        <w:jc w:val="both"/>
        <w:rPr>
          <w:lang w:val="el-GR"/>
        </w:rPr>
      </w:pPr>
    </w:p>
    <w:p w:rsidR="00D822F2" w:rsidRPr="005B6E20" w:rsidRDefault="00D822F2" w:rsidP="001B4D25">
      <w:pPr>
        <w:ind w:left="360"/>
        <w:jc w:val="both"/>
        <w:rPr>
          <w:lang w:val="el-GR"/>
        </w:rPr>
      </w:pPr>
    </w:p>
    <w:p w:rsidR="00D822F2" w:rsidRPr="005B6E20" w:rsidRDefault="00D822F2" w:rsidP="001B4D25">
      <w:pPr>
        <w:ind w:left="360"/>
        <w:jc w:val="both"/>
        <w:rPr>
          <w:lang w:val="el-GR"/>
        </w:rPr>
      </w:pPr>
    </w:p>
    <w:p w:rsidR="00D822F2" w:rsidRPr="005B6E20" w:rsidRDefault="00D822F2" w:rsidP="001B4D25">
      <w:pPr>
        <w:ind w:left="360"/>
        <w:jc w:val="both"/>
        <w:rPr>
          <w:lang w:val="el-GR"/>
        </w:rPr>
      </w:pPr>
      <w:r>
        <w:rPr>
          <w:noProof/>
          <w:lang w:val="el-GR" w:eastAsia="el-GR"/>
        </w:rPr>
        <w:drawing>
          <wp:anchor distT="0" distB="0" distL="114300" distR="114300" simplePos="0" relativeHeight="251665408" behindDoc="1" locked="0" layoutInCell="1" allowOverlap="1">
            <wp:simplePos x="0" y="0"/>
            <wp:positionH relativeFrom="column">
              <wp:posOffset>-1802765</wp:posOffset>
            </wp:positionH>
            <wp:positionV relativeFrom="paragraph">
              <wp:posOffset>332105</wp:posOffset>
            </wp:positionV>
            <wp:extent cx="3618865" cy="2318385"/>
            <wp:effectExtent l="38100" t="38100" r="95885" b="100965"/>
            <wp:wrapTight wrapText="bothSides">
              <wp:wrapPolygon edited="0">
                <wp:start x="0" y="-355"/>
                <wp:lineTo x="-227" y="-177"/>
                <wp:lineTo x="-227" y="21831"/>
                <wp:lineTo x="0" y="22363"/>
                <wp:lineTo x="21831" y="22363"/>
                <wp:lineTo x="22059" y="19878"/>
                <wp:lineTo x="22059" y="2662"/>
                <wp:lineTo x="21831" y="0"/>
                <wp:lineTo x="21831" y="-355"/>
                <wp:lineTo x="0" y="-35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18865" cy="2318385"/>
                    </a:xfrm>
                    <a:prstGeom prst="rect">
                      <a:avLst/>
                    </a:prstGeom>
                    <a:effectLst>
                      <a:outerShdw blurRad="50800" dist="38100" dir="2700000" algn="tl" rotWithShape="0">
                        <a:prstClr val="black">
                          <a:alpha val="40000"/>
                        </a:prstClr>
                      </a:outerShdw>
                    </a:effectLst>
                  </pic:spPr>
                </pic:pic>
              </a:graphicData>
            </a:graphic>
          </wp:anchor>
        </w:drawing>
      </w:r>
    </w:p>
    <w:p w:rsidR="00D822F2" w:rsidRPr="005B6E20" w:rsidRDefault="00D822F2" w:rsidP="001B4D25">
      <w:pPr>
        <w:ind w:left="360"/>
        <w:jc w:val="both"/>
        <w:rPr>
          <w:lang w:val="el-GR"/>
        </w:rPr>
      </w:pPr>
    </w:p>
    <w:p w:rsidR="00D822F2" w:rsidRPr="00D822F2" w:rsidRDefault="00D822F2" w:rsidP="001B4D25">
      <w:pPr>
        <w:ind w:left="360"/>
        <w:jc w:val="both"/>
        <w:rPr>
          <w:lang w:val="el-GR"/>
        </w:rPr>
      </w:pPr>
    </w:p>
    <w:p w:rsidR="00D822F2" w:rsidRPr="00D822F2" w:rsidRDefault="00D822F2" w:rsidP="001B4D25">
      <w:pPr>
        <w:ind w:left="360"/>
        <w:jc w:val="both"/>
        <w:rPr>
          <w:lang w:val="el-GR"/>
        </w:rPr>
      </w:pPr>
    </w:p>
    <w:p w:rsidR="00D822F2" w:rsidRPr="00D822F2" w:rsidRDefault="00D822F2" w:rsidP="001B4D25">
      <w:pPr>
        <w:ind w:left="360"/>
        <w:jc w:val="both"/>
        <w:rPr>
          <w:lang w:val="el-GR"/>
        </w:rPr>
      </w:pPr>
    </w:p>
    <w:p w:rsidR="00D822F2" w:rsidRPr="00D822F2" w:rsidRDefault="00D822F2" w:rsidP="001B4D25">
      <w:pPr>
        <w:ind w:left="360"/>
        <w:jc w:val="both"/>
        <w:rPr>
          <w:lang w:val="el-GR"/>
        </w:rPr>
      </w:pPr>
    </w:p>
    <w:p w:rsidR="00D822F2" w:rsidRPr="005B6E20" w:rsidRDefault="00D822F2" w:rsidP="001B4D25">
      <w:pPr>
        <w:ind w:left="360"/>
        <w:jc w:val="both"/>
        <w:rPr>
          <w:lang w:val="el-GR"/>
        </w:rPr>
      </w:pPr>
    </w:p>
    <w:p w:rsidR="00D822F2" w:rsidRPr="005B6E20" w:rsidRDefault="00D822F2" w:rsidP="001B4D25">
      <w:pPr>
        <w:ind w:left="360"/>
        <w:jc w:val="both"/>
        <w:rPr>
          <w:lang w:val="el-GR"/>
        </w:rPr>
      </w:pPr>
    </w:p>
    <w:p w:rsidR="00D822F2" w:rsidRPr="00D822F2" w:rsidRDefault="00D822F2" w:rsidP="001B4D25">
      <w:pPr>
        <w:ind w:left="360"/>
        <w:jc w:val="both"/>
        <w:rPr>
          <w:lang w:val="el-GR"/>
        </w:rPr>
      </w:pPr>
    </w:p>
    <w:p w:rsidR="00C270DD" w:rsidRDefault="001B4D25" w:rsidP="00C270DD">
      <w:pPr>
        <w:ind w:left="360"/>
        <w:jc w:val="both"/>
        <w:rPr>
          <w:lang w:val="el-GR"/>
        </w:rPr>
      </w:pPr>
      <w:r>
        <w:rPr>
          <w:lang w:val="el-GR"/>
        </w:rPr>
        <w:t xml:space="preserve">Εδώ θα πρέπει να τονιστεί </w:t>
      </w:r>
      <w:r w:rsidR="00917F24">
        <w:rPr>
          <w:lang w:val="el-GR"/>
        </w:rPr>
        <w:t xml:space="preserve">ότι </w:t>
      </w:r>
      <w:r w:rsidR="003F12D3">
        <w:rPr>
          <w:lang w:val="el-GR"/>
        </w:rPr>
        <w:t xml:space="preserve">οι εγγραφές των μαθητών θα ήταν περισσότερες αλλά </w:t>
      </w:r>
      <w:r w:rsidR="00917F24">
        <w:rPr>
          <w:lang w:val="el-GR"/>
        </w:rPr>
        <w:t>κάποια τμήματα δεν λειτούργησαν λόγω έλλειψης καθηγητών και όχι διότι δεν υπήρξε ενδιαφέρον από τους μαθητευόμενους.</w:t>
      </w:r>
    </w:p>
    <w:p w:rsidR="003F12D3" w:rsidRPr="00704BEA" w:rsidRDefault="00704BEA" w:rsidP="00704BEA">
      <w:pPr>
        <w:pStyle w:val="a3"/>
        <w:numPr>
          <w:ilvl w:val="0"/>
          <w:numId w:val="7"/>
        </w:numPr>
        <w:ind w:left="-284"/>
        <w:rPr>
          <w:b/>
          <w:lang w:val="el-GR"/>
        </w:rPr>
      </w:pPr>
      <w:r w:rsidRPr="00704BEA">
        <w:rPr>
          <w:b/>
          <w:lang w:val="el-GR"/>
        </w:rPr>
        <w:t>Τι θα μπορούσε να βελτιωθεί</w:t>
      </w:r>
    </w:p>
    <w:p w:rsidR="00704BEA" w:rsidRDefault="00704BEA" w:rsidP="00C270DD">
      <w:pPr>
        <w:ind w:left="360"/>
        <w:jc w:val="both"/>
        <w:rPr>
          <w:lang w:val="el-GR"/>
        </w:rPr>
      </w:pPr>
      <w:r>
        <w:rPr>
          <w:lang w:val="el-GR"/>
        </w:rPr>
        <w:t xml:space="preserve">Όπως κάθε μεταρρύθμιση στην Ελλάδα έτσι και το «Μεταλυκειακό Έτος – Τάξη Μαθητείας των ΕΠΑΛ» ξεκίνησε με πολλά προβλήματα που όμως λύνονται στην πορεία του χρόνου. </w:t>
      </w:r>
    </w:p>
    <w:p w:rsidR="00704BEA" w:rsidRDefault="00704BEA" w:rsidP="00C270DD">
      <w:pPr>
        <w:ind w:left="360"/>
        <w:jc w:val="both"/>
        <w:rPr>
          <w:lang w:val="el-GR"/>
        </w:rPr>
      </w:pPr>
      <w:r>
        <w:rPr>
          <w:lang w:val="el-GR"/>
        </w:rPr>
        <w:t>Αυτή τη στιγμή υπάρχει ένα πολύ καλό θεσμικό πλαίσιο και μια σαφής διαδικασία, τα οποία βελτιώνονται με την πορεία του χρόνου.</w:t>
      </w:r>
    </w:p>
    <w:p w:rsidR="00704BEA" w:rsidRDefault="00704BEA" w:rsidP="00C270DD">
      <w:pPr>
        <w:ind w:left="360"/>
        <w:jc w:val="both"/>
        <w:rPr>
          <w:lang w:val="el-GR"/>
        </w:rPr>
      </w:pPr>
      <w:r>
        <w:rPr>
          <w:lang w:val="el-GR"/>
        </w:rPr>
        <w:t xml:space="preserve">Το κυριότερο πρόβλημα που εξακολουθεί να υπάρχει είναι η γραφειοκρατία που βαραίνει τους εκπαιδευτικούς και τα σχολεία. Οι Διευθυντές </w:t>
      </w:r>
      <w:r w:rsidR="000E47E3">
        <w:rPr>
          <w:lang w:val="el-GR"/>
        </w:rPr>
        <w:t>των ΕΠΑΛ</w:t>
      </w:r>
      <w:r>
        <w:rPr>
          <w:lang w:val="el-GR"/>
        </w:rPr>
        <w:t xml:space="preserve">καλούνται να λειτουργήσουν ένα </w:t>
      </w:r>
      <w:r w:rsidR="000E47E3">
        <w:rPr>
          <w:lang w:val="el-GR"/>
        </w:rPr>
        <w:t xml:space="preserve">«δεύτερο σχολείο» </w:t>
      </w:r>
      <w:r>
        <w:rPr>
          <w:lang w:val="el-GR"/>
        </w:rPr>
        <w:t>μέσα στο ήδη υπάρχ</w:t>
      </w:r>
      <w:r w:rsidR="000E47E3">
        <w:rPr>
          <w:lang w:val="el-GR"/>
        </w:rPr>
        <w:t>ο</w:t>
      </w:r>
      <w:r>
        <w:rPr>
          <w:lang w:val="el-GR"/>
        </w:rPr>
        <w:t xml:space="preserve">ν. </w:t>
      </w:r>
      <w:r w:rsidR="000E47E3">
        <w:rPr>
          <w:lang w:val="el-GR"/>
        </w:rPr>
        <w:t>Αυτή τη στιγμή υπάρχουν ΕΠΑΛ στα Χανιά τα οποία έχουν περισσότερους από 50 μαθητευόμενους. Δηλαδή όσους</w:t>
      </w:r>
      <w:r w:rsidR="00CD4A8E">
        <w:rPr>
          <w:lang w:val="el-GR"/>
        </w:rPr>
        <w:t xml:space="preserve"> ή και περισσότερους από</w:t>
      </w:r>
      <w:r w:rsidR="000E47E3">
        <w:rPr>
          <w:lang w:val="el-GR"/>
        </w:rPr>
        <w:t xml:space="preserve"> ένα μικρό περιφερειακό ΕΠΑΛ. Ο Διευθυντής του σχολείου </w:t>
      </w:r>
      <w:r w:rsidR="00844ABB">
        <w:rPr>
          <w:lang w:val="el-GR"/>
        </w:rPr>
        <w:t xml:space="preserve">λοιπόν, </w:t>
      </w:r>
      <w:r w:rsidR="000E47E3">
        <w:rPr>
          <w:lang w:val="el-GR"/>
        </w:rPr>
        <w:t>καλείται</w:t>
      </w:r>
      <w:r w:rsidR="00447DC7">
        <w:rPr>
          <w:lang w:val="el-GR"/>
        </w:rPr>
        <w:t>,</w:t>
      </w:r>
      <w:r w:rsidR="000E47E3">
        <w:rPr>
          <w:lang w:val="el-GR"/>
        </w:rPr>
        <w:t xml:space="preserve"> πέρα από το σχολείο του</w:t>
      </w:r>
      <w:r w:rsidR="00447DC7">
        <w:rPr>
          <w:lang w:val="el-GR"/>
        </w:rPr>
        <w:t>,</w:t>
      </w:r>
      <w:r w:rsidR="000E47E3">
        <w:rPr>
          <w:lang w:val="el-GR"/>
        </w:rPr>
        <w:t xml:space="preserve"> να διευθύνει και ένα μικρό σχολείο ακόμα</w:t>
      </w:r>
      <w:r w:rsidR="00CD4A8E">
        <w:rPr>
          <w:lang w:val="el-GR"/>
        </w:rPr>
        <w:t>,</w:t>
      </w:r>
      <w:r w:rsidR="000E47E3">
        <w:rPr>
          <w:lang w:val="el-GR"/>
        </w:rPr>
        <w:t xml:space="preserve"> το οποίο έχει τους δικούς του καθηγητές, τις δικές του διαδικασίες κλπ. Αυτό δημιουργεί δυσαρέσκεια από μέρους των Διευθυντών και περιορισμούς στην περαιτέρω αύξηση των μαθητευόμενων.</w:t>
      </w:r>
    </w:p>
    <w:p w:rsidR="000E47E3" w:rsidRDefault="000E47E3" w:rsidP="00C270DD">
      <w:pPr>
        <w:ind w:left="360"/>
        <w:jc w:val="both"/>
        <w:rPr>
          <w:lang w:val="el-GR"/>
        </w:rPr>
      </w:pPr>
      <w:r>
        <w:rPr>
          <w:lang w:val="el-GR"/>
        </w:rPr>
        <w:t xml:space="preserve">Επιπλέον, οι καθηγητές της Μαθητείας καλούνται να επιτελέσουν ρόλους πέρα των γνωστών. </w:t>
      </w:r>
      <w:r w:rsidR="00844ABB">
        <w:rPr>
          <w:lang w:val="el-GR"/>
        </w:rPr>
        <w:t>Πρέπει</w:t>
      </w:r>
      <w:r>
        <w:rPr>
          <w:lang w:val="el-GR"/>
        </w:rPr>
        <w:t xml:space="preserve"> να είναι εργασιακοί σύμβουλοι, λογιστές και καθηγητές ταυτόχρ</w:t>
      </w:r>
      <w:r w:rsidR="00CD4A8E">
        <w:rPr>
          <w:lang w:val="el-GR"/>
        </w:rPr>
        <w:t>ονα. Ακόμα πρέπει να συντηρούν</w:t>
      </w:r>
      <w:r w:rsidR="00C242E4">
        <w:rPr>
          <w:lang w:val="el-GR"/>
        </w:rPr>
        <w:t>,</w:t>
      </w:r>
      <w:r w:rsidR="00CD4A8E">
        <w:rPr>
          <w:lang w:val="el-GR"/>
        </w:rPr>
        <w:t xml:space="preserve"> να ελέγχουν και να ενημερώνουν κάθε μήναένα τεράστιο αρχείο εγγράφων ενώ παράλληλα συνεχίζουν την εργασία τους ως καθηγητές του σχολείου. </w:t>
      </w:r>
    </w:p>
    <w:p w:rsidR="00C242E4" w:rsidRDefault="00CD4A8E" w:rsidP="00CD4A8E">
      <w:pPr>
        <w:ind w:left="360"/>
        <w:jc w:val="both"/>
        <w:rPr>
          <w:lang w:val="el-GR"/>
        </w:rPr>
      </w:pPr>
      <w:r>
        <w:rPr>
          <w:lang w:val="el-GR"/>
        </w:rPr>
        <w:t xml:space="preserve">Και όλα αυτά χωρίς να τους παρέχεται κανένα κίνητρο (υλικό ή ηθικό). Όλοι οι εκπαιδευτικοί που εμπλέκονται στη μαθητεία το κάνουν εθελοντικά διότι πιστεύουν στην αναγκαιότητα της </w:t>
      </w:r>
      <w:r w:rsidR="00C242E4">
        <w:rPr>
          <w:lang w:val="el-GR"/>
        </w:rPr>
        <w:t xml:space="preserve">ύπαρξης της </w:t>
      </w:r>
      <w:r>
        <w:rPr>
          <w:lang w:val="el-GR"/>
        </w:rPr>
        <w:t>μαθητείας στην επαγγελματική εκπαίδευση.</w:t>
      </w:r>
    </w:p>
    <w:p w:rsidR="00CD4A8E" w:rsidRDefault="00CD4A8E" w:rsidP="00CD4A8E">
      <w:pPr>
        <w:ind w:left="360"/>
        <w:jc w:val="both"/>
        <w:rPr>
          <w:lang w:val="el-GR"/>
        </w:rPr>
      </w:pPr>
      <w:r>
        <w:rPr>
          <w:lang w:val="el-GR"/>
        </w:rPr>
        <w:t xml:space="preserve">Τέλος, το πρόβλημα που φάνηκε πολύ έντονα φέτος ήταν η έλλειψη καθηγητών. Πολλά από τα τμήματα που λειτουργούν απασχολούν αναπληρωτές καθηγητές. Αυτό δεν είναι θετικό καταρχήν διότι </w:t>
      </w:r>
      <w:r w:rsidR="00C242E4">
        <w:rPr>
          <w:lang w:val="el-GR"/>
        </w:rPr>
        <w:t>οιπροσλήψεις</w:t>
      </w:r>
      <w:r>
        <w:rPr>
          <w:lang w:val="el-GR"/>
        </w:rPr>
        <w:t xml:space="preserve"> τους </w:t>
      </w:r>
      <w:r w:rsidR="00C242E4">
        <w:rPr>
          <w:lang w:val="el-GR"/>
        </w:rPr>
        <w:t>καθυστερούν</w:t>
      </w:r>
      <w:r>
        <w:rPr>
          <w:lang w:val="el-GR"/>
        </w:rPr>
        <w:t xml:space="preserve"> με αποτέλεσμα </w:t>
      </w:r>
      <w:r w:rsidR="00C242E4">
        <w:rPr>
          <w:lang w:val="el-GR"/>
        </w:rPr>
        <w:t xml:space="preserve">να </w:t>
      </w:r>
      <w:r w:rsidR="00844ABB">
        <w:rPr>
          <w:lang w:val="el-GR"/>
        </w:rPr>
        <w:t>προκαλούνται και</w:t>
      </w:r>
      <w:r w:rsidR="00C242E4">
        <w:rPr>
          <w:lang w:val="el-GR"/>
        </w:rPr>
        <w:t xml:space="preserve"> μεγάλες καθυστερήσεις στην έναρξη του προγράμματος. Επιπλέον, ο θεσμός </w:t>
      </w:r>
      <w:r w:rsidR="00447DC7">
        <w:rPr>
          <w:lang w:val="el-GR"/>
        </w:rPr>
        <w:t xml:space="preserve">για την επιτυχία του </w:t>
      </w:r>
      <w:r w:rsidR="00C242E4">
        <w:rPr>
          <w:lang w:val="el-GR"/>
        </w:rPr>
        <w:t xml:space="preserve">έχει </w:t>
      </w:r>
      <w:r w:rsidR="00447DC7">
        <w:rPr>
          <w:lang w:val="el-GR"/>
        </w:rPr>
        <w:t xml:space="preserve">την </w:t>
      </w:r>
      <w:r w:rsidR="00C242E4">
        <w:rPr>
          <w:lang w:val="el-GR"/>
        </w:rPr>
        <w:t xml:space="preserve">ανάγκη </w:t>
      </w:r>
      <w:r w:rsidR="00447DC7">
        <w:rPr>
          <w:lang w:val="el-GR"/>
        </w:rPr>
        <w:t>της</w:t>
      </w:r>
      <w:r w:rsidR="00C242E4">
        <w:rPr>
          <w:lang w:val="el-GR"/>
        </w:rPr>
        <w:t xml:space="preserve"> συνέχειας και </w:t>
      </w:r>
      <w:r w:rsidR="00447DC7">
        <w:rPr>
          <w:lang w:val="el-GR"/>
        </w:rPr>
        <w:t xml:space="preserve">της προσωπικής επαφής που δεν μπορεί να επιτευχθεί εάν οι καθηγητές οι οποίοι ασχολούνται </w:t>
      </w:r>
      <w:r w:rsidR="00844ABB">
        <w:rPr>
          <w:lang w:val="el-GR"/>
        </w:rPr>
        <w:t>σ</w:t>
      </w:r>
      <w:r w:rsidR="00447DC7">
        <w:rPr>
          <w:lang w:val="el-GR"/>
        </w:rPr>
        <w:t xml:space="preserve">ε αυτό αλλάζουν κάθε χρόνο. </w:t>
      </w:r>
    </w:p>
    <w:p w:rsidR="00917F24" w:rsidRDefault="00917F24" w:rsidP="00C270DD">
      <w:pPr>
        <w:ind w:left="360"/>
        <w:jc w:val="both"/>
        <w:rPr>
          <w:lang w:val="el-GR"/>
        </w:rPr>
      </w:pPr>
    </w:p>
    <w:p w:rsidR="00917F24" w:rsidRPr="00C270DD" w:rsidRDefault="00917F24" w:rsidP="00C270DD">
      <w:pPr>
        <w:ind w:left="360"/>
        <w:jc w:val="both"/>
        <w:rPr>
          <w:lang w:val="el-GR"/>
        </w:rPr>
      </w:pPr>
    </w:p>
    <w:p w:rsidR="00C270DD" w:rsidRPr="00C270DD" w:rsidRDefault="00C270DD" w:rsidP="00C270DD">
      <w:pPr>
        <w:ind w:left="360"/>
        <w:jc w:val="both"/>
        <w:rPr>
          <w:lang w:val="el-GR"/>
        </w:rPr>
      </w:pPr>
      <w:bookmarkStart w:id="0" w:name="_GoBack"/>
      <w:bookmarkEnd w:id="0"/>
    </w:p>
    <w:p w:rsidR="00B9346A" w:rsidRPr="00B9346A" w:rsidRDefault="00B9346A" w:rsidP="00B9346A">
      <w:pPr>
        <w:ind w:left="360"/>
        <w:jc w:val="both"/>
        <w:rPr>
          <w:lang w:val="el-GR"/>
        </w:rPr>
      </w:pPr>
    </w:p>
    <w:sectPr w:rsidR="00B9346A" w:rsidRPr="00B9346A" w:rsidSect="00213F3B">
      <w:footerReference w:type="default" r:id="rId19"/>
      <w:pgSz w:w="11906" w:h="16838"/>
      <w:pgMar w:top="1134" w:right="1274" w:bottom="1135"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CEF" w:rsidRDefault="00C42CEF" w:rsidP="00213F3B">
      <w:pPr>
        <w:spacing w:after="0" w:line="240" w:lineRule="auto"/>
      </w:pPr>
      <w:r>
        <w:separator/>
      </w:r>
    </w:p>
  </w:endnote>
  <w:endnote w:type="continuationSeparator" w:id="1">
    <w:p w:rsidR="00C42CEF" w:rsidRDefault="00C42CEF" w:rsidP="00213F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2AE" w:rsidRDefault="009402AE">
    <w:pPr>
      <w:pStyle w:val="a6"/>
    </w:pPr>
    <w:r>
      <w:rPr>
        <w:noProof/>
        <w:lang w:val="el-GR" w:eastAsia="el-GR"/>
      </w:rPr>
      <w:drawing>
        <wp:anchor distT="0" distB="0" distL="114300" distR="114300" simplePos="0" relativeHeight="251658240" behindDoc="1" locked="0" layoutInCell="1" allowOverlap="1">
          <wp:simplePos x="0" y="0"/>
          <wp:positionH relativeFrom="column">
            <wp:posOffset>-1270</wp:posOffset>
          </wp:positionH>
          <wp:positionV relativeFrom="paragraph">
            <wp:posOffset>-111125</wp:posOffset>
          </wp:positionV>
          <wp:extent cx="5486400" cy="643255"/>
          <wp:effectExtent l="0" t="0" r="0" b="4445"/>
          <wp:wrapTight wrapText="bothSides">
            <wp:wrapPolygon edited="0">
              <wp:start x="0" y="0"/>
              <wp:lineTo x="0" y="21110"/>
              <wp:lineTo x="21525" y="21110"/>
              <wp:lineTo x="2152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86400" cy="64325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CEF" w:rsidRDefault="00C42CEF" w:rsidP="00213F3B">
      <w:pPr>
        <w:spacing w:after="0" w:line="240" w:lineRule="auto"/>
      </w:pPr>
      <w:r>
        <w:separator/>
      </w:r>
    </w:p>
  </w:footnote>
  <w:footnote w:type="continuationSeparator" w:id="1">
    <w:p w:rsidR="00C42CEF" w:rsidRDefault="00C42CEF" w:rsidP="00213F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0E2"/>
    <w:multiLevelType w:val="hybridMultilevel"/>
    <w:tmpl w:val="3B3E0C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1AC4433"/>
    <w:multiLevelType w:val="hybridMultilevel"/>
    <w:tmpl w:val="8654BE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40F1C35"/>
    <w:multiLevelType w:val="hybridMultilevel"/>
    <w:tmpl w:val="C92C1F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9DA4F8D"/>
    <w:multiLevelType w:val="hybridMultilevel"/>
    <w:tmpl w:val="19C4B4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4B25FC9"/>
    <w:multiLevelType w:val="hybridMultilevel"/>
    <w:tmpl w:val="6FAECC7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AEE0CAF"/>
    <w:multiLevelType w:val="hybridMultilevel"/>
    <w:tmpl w:val="A52AEC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FA42993"/>
    <w:multiLevelType w:val="hybridMultilevel"/>
    <w:tmpl w:val="3B0EDA34"/>
    <w:lvl w:ilvl="0" w:tplc="04080001">
      <w:start w:val="1"/>
      <w:numFmt w:val="bullet"/>
      <w:lvlText w:val=""/>
      <w:lvlJc w:val="left"/>
      <w:pPr>
        <w:ind w:left="720" w:hanging="360"/>
      </w:pPr>
      <w:rPr>
        <w:rFonts w:ascii="Symbol" w:hAnsi="Symbol" w:hint="default"/>
      </w:rPr>
    </w:lvl>
    <w:lvl w:ilvl="1" w:tplc="B256F958">
      <w:numFmt w:val="bullet"/>
      <w:lvlText w:val="•"/>
      <w:lvlJc w:val="left"/>
      <w:pPr>
        <w:ind w:left="1800" w:hanging="720"/>
      </w:pPr>
      <w:rPr>
        <w:rFonts w:ascii="Calibri" w:eastAsiaTheme="minorHAnsi"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DB00EFA"/>
    <w:multiLevelType w:val="hybridMultilevel"/>
    <w:tmpl w:val="940623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7"/>
  </w:num>
  <w:num w:numId="5">
    <w:abstractNumId w:val="3"/>
  </w:num>
  <w:num w:numId="6">
    <w:abstractNumId w:val="1"/>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savePreviewPicture/>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jM2MzAzMTUwMDUzMbFU0lEKTi0uzszPAykwqgUA9rxhciwAAAA="/>
  </w:docVars>
  <w:rsids>
    <w:rsidRoot w:val="00174FA0"/>
    <w:rsid w:val="000E47E3"/>
    <w:rsid w:val="000F3A09"/>
    <w:rsid w:val="00150070"/>
    <w:rsid w:val="00174FA0"/>
    <w:rsid w:val="001B4D25"/>
    <w:rsid w:val="001F53B2"/>
    <w:rsid w:val="00213F3B"/>
    <w:rsid w:val="00214C8F"/>
    <w:rsid w:val="002B7C74"/>
    <w:rsid w:val="00334C8B"/>
    <w:rsid w:val="0039260E"/>
    <w:rsid w:val="003B0558"/>
    <w:rsid w:val="003F12D3"/>
    <w:rsid w:val="00447DC7"/>
    <w:rsid w:val="004A1775"/>
    <w:rsid w:val="00525A8A"/>
    <w:rsid w:val="005B1E2B"/>
    <w:rsid w:val="005B6E20"/>
    <w:rsid w:val="00616765"/>
    <w:rsid w:val="006B0F16"/>
    <w:rsid w:val="00704BEA"/>
    <w:rsid w:val="00774B44"/>
    <w:rsid w:val="007D5738"/>
    <w:rsid w:val="00844ABB"/>
    <w:rsid w:val="008D5C44"/>
    <w:rsid w:val="00917F24"/>
    <w:rsid w:val="009402AE"/>
    <w:rsid w:val="00A05214"/>
    <w:rsid w:val="00A17740"/>
    <w:rsid w:val="00AD29E5"/>
    <w:rsid w:val="00AD44D1"/>
    <w:rsid w:val="00B9346A"/>
    <w:rsid w:val="00C05192"/>
    <w:rsid w:val="00C242E4"/>
    <w:rsid w:val="00C270DD"/>
    <w:rsid w:val="00C30AE6"/>
    <w:rsid w:val="00C42CEF"/>
    <w:rsid w:val="00CB5B88"/>
    <w:rsid w:val="00CD4A8E"/>
    <w:rsid w:val="00D465C9"/>
    <w:rsid w:val="00D822F2"/>
    <w:rsid w:val="00F313AE"/>
    <w:rsid w:val="00F4011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A0"/>
    <w:rPr>
      <w:lang w:val="es-ES_tradn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74FA0"/>
    <w:rPr>
      <w:color w:val="0000FF" w:themeColor="hyperlink"/>
      <w:u w:val="single"/>
    </w:rPr>
  </w:style>
  <w:style w:type="paragraph" w:styleId="a3">
    <w:name w:val="List Paragraph"/>
    <w:basedOn w:val="a"/>
    <w:uiPriority w:val="34"/>
    <w:qFormat/>
    <w:rsid w:val="00174FA0"/>
    <w:pPr>
      <w:ind w:left="720"/>
      <w:contextualSpacing/>
    </w:pPr>
  </w:style>
  <w:style w:type="paragraph" w:customStyle="1" w:styleId="western">
    <w:name w:val="western"/>
    <w:basedOn w:val="a"/>
    <w:rsid w:val="00174FA0"/>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styleId="a4">
    <w:name w:val="Balloon Text"/>
    <w:basedOn w:val="a"/>
    <w:link w:val="Char"/>
    <w:uiPriority w:val="99"/>
    <w:semiHidden/>
    <w:unhideWhenUsed/>
    <w:rsid w:val="00174FA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74FA0"/>
    <w:rPr>
      <w:rFonts w:ascii="Tahoma" w:hAnsi="Tahoma" w:cs="Tahoma"/>
      <w:sz w:val="16"/>
      <w:szCs w:val="16"/>
      <w:lang w:val="es-ES_tradnl"/>
    </w:rPr>
  </w:style>
  <w:style w:type="character" w:styleId="-0">
    <w:name w:val="FollowedHyperlink"/>
    <w:basedOn w:val="a0"/>
    <w:uiPriority w:val="99"/>
    <w:semiHidden/>
    <w:unhideWhenUsed/>
    <w:rsid w:val="00A17740"/>
    <w:rPr>
      <w:color w:val="800080" w:themeColor="followedHyperlink"/>
      <w:u w:val="single"/>
    </w:rPr>
  </w:style>
  <w:style w:type="table" w:styleId="3-2">
    <w:name w:val="Medium Grid 3 Accent 2"/>
    <w:basedOn w:val="a1"/>
    <w:uiPriority w:val="69"/>
    <w:rsid w:val="00C270D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a5">
    <w:name w:val="header"/>
    <w:basedOn w:val="a"/>
    <w:link w:val="Char0"/>
    <w:uiPriority w:val="99"/>
    <w:unhideWhenUsed/>
    <w:rsid w:val="00213F3B"/>
    <w:pPr>
      <w:tabs>
        <w:tab w:val="center" w:pos="4153"/>
        <w:tab w:val="right" w:pos="8306"/>
      </w:tabs>
      <w:spacing w:after="0" w:line="240" w:lineRule="auto"/>
    </w:pPr>
  </w:style>
  <w:style w:type="character" w:customStyle="1" w:styleId="Char0">
    <w:name w:val="Κεφαλίδα Char"/>
    <w:basedOn w:val="a0"/>
    <w:link w:val="a5"/>
    <w:uiPriority w:val="99"/>
    <w:rsid w:val="00213F3B"/>
    <w:rPr>
      <w:lang w:val="es-ES_tradnl"/>
    </w:rPr>
  </w:style>
  <w:style w:type="paragraph" w:styleId="a6">
    <w:name w:val="footer"/>
    <w:basedOn w:val="a"/>
    <w:link w:val="Char1"/>
    <w:uiPriority w:val="99"/>
    <w:unhideWhenUsed/>
    <w:rsid w:val="00213F3B"/>
    <w:pPr>
      <w:tabs>
        <w:tab w:val="center" w:pos="4153"/>
        <w:tab w:val="right" w:pos="8306"/>
      </w:tabs>
      <w:spacing w:after="0" w:line="240" w:lineRule="auto"/>
    </w:pPr>
  </w:style>
  <w:style w:type="character" w:customStyle="1" w:styleId="Char1">
    <w:name w:val="Υποσέλιδο Char"/>
    <w:basedOn w:val="a0"/>
    <w:link w:val="a6"/>
    <w:uiPriority w:val="99"/>
    <w:rsid w:val="00213F3B"/>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FA0"/>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4FA0"/>
    <w:rPr>
      <w:color w:val="0000FF" w:themeColor="hyperlink"/>
      <w:u w:val="single"/>
    </w:rPr>
  </w:style>
  <w:style w:type="paragraph" w:styleId="ListParagraph">
    <w:name w:val="List Paragraph"/>
    <w:basedOn w:val="Normal"/>
    <w:uiPriority w:val="34"/>
    <w:qFormat/>
    <w:rsid w:val="00174FA0"/>
    <w:pPr>
      <w:ind w:left="720"/>
      <w:contextualSpacing/>
    </w:pPr>
  </w:style>
  <w:style w:type="paragraph" w:customStyle="1" w:styleId="western">
    <w:name w:val="western"/>
    <w:basedOn w:val="Normal"/>
    <w:rsid w:val="00174FA0"/>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styleId="BalloonText">
    <w:name w:val="Balloon Text"/>
    <w:basedOn w:val="Normal"/>
    <w:link w:val="BalloonTextChar"/>
    <w:uiPriority w:val="99"/>
    <w:semiHidden/>
    <w:unhideWhenUsed/>
    <w:rsid w:val="00174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FA0"/>
    <w:rPr>
      <w:rFonts w:ascii="Tahoma" w:hAnsi="Tahoma" w:cs="Tahoma"/>
      <w:sz w:val="16"/>
      <w:szCs w:val="16"/>
      <w:lang w:val="es-ES_tradnl"/>
    </w:rPr>
  </w:style>
  <w:style w:type="character" w:styleId="FollowedHyperlink">
    <w:name w:val="FollowedHyperlink"/>
    <w:basedOn w:val="DefaultParagraphFont"/>
    <w:uiPriority w:val="99"/>
    <w:semiHidden/>
    <w:unhideWhenUsed/>
    <w:rsid w:val="00A17740"/>
    <w:rPr>
      <w:color w:val="800080" w:themeColor="followedHyperlink"/>
      <w:u w:val="single"/>
    </w:rPr>
  </w:style>
  <w:style w:type="table" w:styleId="MediumGrid3-Accent2">
    <w:name w:val="Medium Grid 3 Accent 2"/>
    <w:basedOn w:val="TableNormal"/>
    <w:uiPriority w:val="69"/>
    <w:rsid w:val="00C270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Header">
    <w:name w:val="header"/>
    <w:basedOn w:val="Normal"/>
    <w:link w:val="HeaderChar"/>
    <w:uiPriority w:val="99"/>
    <w:unhideWhenUsed/>
    <w:rsid w:val="00213F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13F3B"/>
    <w:rPr>
      <w:lang w:val="es-ES_tradnl"/>
    </w:rPr>
  </w:style>
  <w:style w:type="paragraph" w:styleId="Footer">
    <w:name w:val="footer"/>
    <w:basedOn w:val="Normal"/>
    <w:link w:val="FooterChar"/>
    <w:uiPriority w:val="99"/>
    <w:unhideWhenUsed/>
    <w:rsid w:val="00213F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13F3B"/>
    <w:rPr>
      <w:lang w:val="es-ES_tradn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04LS8RZclD0" TargetMode="Externa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ec.europa.eu/regional_policy/sources/docoffic/official/reports/asr2019/esif_asr2019_factsheet_el.pdf"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regional_policy/sources/docoffic/official/reports/asr2019/esif_asr2019_factsheet_el_el.pdf"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minedu.gov.gr/news/43826-14-01-20-metalykeiako-etos-taksi-mathiteias-epa-l-i-evropaiki-diakrisi-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aed.gr/angelia-theseon-matheteias" TargetMode="External"/><Relationship Id="rId14" Type="http://schemas.microsoft.com/office/2007/relationships/hdphoto" Target="media/hdphoto1.wdp"/><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8</Pages>
  <Words>2418</Words>
  <Characters>13062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didechan</cp:lastModifiedBy>
  <cp:revision>20</cp:revision>
  <cp:lastPrinted>2020-02-17T07:52:00Z</cp:lastPrinted>
  <dcterms:created xsi:type="dcterms:W3CDTF">2020-02-16T21:04:00Z</dcterms:created>
  <dcterms:modified xsi:type="dcterms:W3CDTF">2020-02-17T09:31:00Z</dcterms:modified>
</cp:coreProperties>
</file>